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F84615">
      <w:r w:rsidRPr="00F84615">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5F3CCB" w:rsidRPr="00E60537" w:rsidRDefault="005F3CCB" w:rsidP="004D3814">
                  <w:pPr>
                    <w:jc w:val="right"/>
                    <w:rPr>
                      <w:rFonts w:ascii="Segoe UI" w:hAnsi="Segoe UI" w:cs="Segoe UI"/>
                      <w:b/>
                      <w:sz w:val="56"/>
                      <w:szCs w:val="72"/>
                      <w:u w:val="single"/>
                    </w:rPr>
                  </w:pPr>
                  <w:r w:rsidRPr="00E60537">
                    <w:rPr>
                      <w:rFonts w:ascii="Segoe UI" w:hAnsi="Segoe UI" w:cs="Segoe UI"/>
                      <w:b/>
                      <w:sz w:val="56"/>
                      <w:szCs w:val="72"/>
                      <w:u w:val="single"/>
                    </w:rPr>
                    <w:t>A</w:t>
                  </w:r>
                  <w:r>
                    <w:rPr>
                      <w:rFonts w:ascii="Segoe UI" w:hAnsi="Segoe UI" w:cs="Segoe UI"/>
                      <w:b/>
                      <w:sz w:val="56"/>
                      <w:szCs w:val="72"/>
                      <w:u w:val="single"/>
                    </w:rPr>
                    <w:t>shford</w:t>
                  </w:r>
                  <w:r w:rsidRPr="00E60537">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F84615"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F84615"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F84615"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F84615"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F84615"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5F3CCB" w:rsidP="00A55118">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Kent</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5F3CCB"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8890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5F3CCB"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8806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5F3CCB"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8996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5F3CCB"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9254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5F3CCB"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9455</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823FAE" w:rsidP="00A55118">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Kent</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823FAE"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6942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823FAE"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6850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823FAE"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6946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823FAE"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7097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823FAE"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7224</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823FAE" w:rsidP="00A55118">
            <w:pPr>
              <w:spacing w:after="0" w:line="240" w:lineRule="auto"/>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Kent</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823FAE"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4809</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823FAE"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4829</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823FAE"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4969</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823FAE"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5061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823FAE" w:rsidP="00A55118">
            <w:pPr>
              <w:spacing w:after="0" w:line="240" w:lineRule="auto"/>
              <w:jc w:val="right"/>
              <w:rPr>
                <w:rFonts w:ascii="Tahoma" w:eastAsia="Times New Roman" w:hAnsi="Tahoma" w:cs="Tahoma"/>
                <w:color w:val="000000"/>
                <w:sz w:val="16"/>
                <w:szCs w:val="16"/>
                <w:lang w:eastAsia="en-GB"/>
              </w:rPr>
            </w:pPr>
            <w:r>
              <w:rPr>
                <w:rFonts w:ascii="Tahoma" w:eastAsia="Times New Roman" w:hAnsi="Tahoma" w:cs="Tahoma"/>
                <w:color w:val="000000"/>
                <w:sz w:val="16"/>
                <w:szCs w:val="16"/>
                <w:lang w:eastAsia="en-GB"/>
              </w:rPr>
              <w:t>5163</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E137C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E137C9" w:rsidRDefault="00E137C9" w:rsidP="00E137C9">
            <w:pPr>
              <w:spacing w:after="100" w:afterAutospacing="1"/>
              <w:rPr>
                <w:rFonts w:ascii="Tahoma" w:hAnsi="Tahoma" w:cs="Tahoma"/>
                <w:color w:val="000000"/>
                <w:sz w:val="16"/>
                <w:szCs w:val="16"/>
              </w:rPr>
            </w:pPr>
            <w:r>
              <w:rPr>
                <w:rFonts w:ascii="Tahoma" w:hAnsi="Tahoma" w:cs="Tahoma"/>
                <w:color w:val="000000"/>
                <w:sz w:val="16"/>
                <w:szCs w:val="16"/>
              </w:rPr>
              <w:t>Kent</w:t>
            </w:r>
          </w:p>
        </w:tc>
        <w:tc>
          <w:tcPr>
            <w:tcW w:w="2818" w:type="dxa"/>
            <w:tcBorders>
              <w:top w:val="nil"/>
              <w:left w:val="nil"/>
              <w:bottom w:val="single" w:sz="4" w:space="0" w:color="auto"/>
              <w:right w:val="single" w:sz="4" w:space="0" w:color="auto"/>
            </w:tcBorders>
            <w:shd w:val="clear" w:color="auto" w:fill="auto"/>
            <w:noWrap/>
            <w:vAlign w:val="bottom"/>
            <w:hideMark/>
          </w:tcPr>
          <w:p w:rsidR="00E137C9" w:rsidRDefault="00E137C9" w:rsidP="00E137C9">
            <w:pPr>
              <w:spacing w:after="100" w:afterAutospacing="1"/>
              <w:jc w:val="right"/>
              <w:rPr>
                <w:rFonts w:ascii="Tahoma" w:hAnsi="Tahoma" w:cs="Tahoma"/>
                <w:color w:val="000000"/>
                <w:sz w:val="16"/>
                <w:szCs w:val="16"/>
              </w:rPr>
            </w:pPr>
            <w:r>
              <w:rPr>
                <w:rFonts w:ascii="Tahoma" w:hAnsi="Tahoma" w:cs="Tahoma"/>
                <w:color w:val="000000"/>
                <w:sz w:val="16"/>
                <w:szCs w:val="16"/>
              </w:rPr>
              <w:t>100.48</w:t>
            </w:r>
          </w:p>
        </w:tc>
        <w:tc>
          <w:tcPr>
            <w:tcW w:w="2647" w:type="dxa"/>
            <w:tcBorders>
              <w:top w:val="nil"/>
              <w:left w:val="nil"/>
              <w:bottom w:val="single" w:sz="4" w:space="0" w:color="auto"/>
              <w:right w:val="single" w:sz="4" w:space="0" w:color="auto"/>
            </w:tcBorders>
            <w:shd w:val="clear" w:color="auto" w:fill="auto"/>
            <w:noWrap/>
            <w:vAlign w:val="bottom"/>
            <w:hideMark/>
          </w:tcPr>
          <w:p w:rsidR="00E137C9" w:rsidRDefault="00E137C9" w:rsidP="00E137C9">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E137C9" w:rsidRDefault="00E137C9" w:rsidP="00E137C9">
            <w:pPr>
              <w:spacing w:after="100" w:afterAutospacing="1"/>
              <w:jc w:val="right"/>
              <w:rPr>
                <w:rFonts w:ascii="Tahoma" w:hAnsi="Tahoma" w:cs="Tahoma"/>
                <w:color w:val="000000"/>
                <w:sz w:val="16"/>
                <w:szCs w:val="16"/>
              </w:rPr>
            </w:pPr>
            <w:r>
              <w:rPr>
                <w:rFonts w:ascii="Tahoma" w:hAnsi="Tahoma" w:cs="Tahoma"/>
                <w:color w:val="000000"/>
                <w:sz w:val="16"/>
                <w:szCs w:val="16"/>
              </w:rPr>
              <w:t>100.48</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E137C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E137C9" w:rsidRDefault="00E137C9" w:rsidP="00E137C9">
            <w:pPr>
              <w:spacing w:after="100" w:afterAutospacing="1"/>
              <w:rPr>
                <w:rFonts w:ascii="Tahoma" w:hAnsi="Tahoma" w:cs="Tahoma"/>
                <w:color w:val="000000"/>
                <w:sz w:val="16"/>
                <w:szCs w:val="16"/>
              </w:rPr>
            </w:pPr>
            <w:r>
              <w:rPr>
                <w:rFonts w:ascii="Tahoma" w:hAnsi="Tahoma" w:cs="Tahoma"/>
                <w:color w:val="000000"/>
                <w:sz w:val="16"/>
                <w:szCs w:val="16"/>
              </w:rPr>
              <w:t>Kent</w:t>
            </w:r>
          </w:p>
        </w:tc>
        <w:tc>
          <w:tcPr>
            <w:tcW w:w="1356" w:type="dxa"/>
            <w:tcBorders>
              <w:top w:val="nil"/>
              <w:left w:val="nil"/>
              <w:bottom w:val="single" w:sz="4" w:space="0" w:color="auto"/>
              <w:right w:val="single" w:sz="4" w:space="0" w:color="auto"/>
            </w:tcBorders>
            <w:shd w:val="clear" w:color="auto" w:fill="auto"/>
            <w:noWrap/>
            <w:vAlign w:val="bottom"/>
            <w:hideMark/>
          </w:tcPr>
          <w:p w:rsidR="00E137C9" w:rsidRDefault="00E137C9" w:rsidP="00E137C9">
            <w:pPr>
              <w:spacing w:after="100" w:afterAutospacing="1"/>
              <w:jc w:val="right"/>
              <w:rPr>
                <w:rFonts w:ascii="Tahoma" w:hAnsi="Tahoma" w:cs="Tahoma"/>
                <w:color w:val="000000"/>
                <w:sz w:val="16"/>
                <w:szCs w:val="16"/>
              </w:rPr>
            </w:pPr>
            <w:r>
              <w:rPr>
                <w:rFonts w:ascii="Tahoma" w:hAnsi="Tahoma" w:cs="Tahoma"/>
                <w:color w:val="000000"/>
                <w:sz w:val="16"/>
                <w:szCs w:val="16"/>
              </w:rPr>
              <w:t>97.99</w:t>
            </w:r>
          </w:p>
        </w:tc>
        <w:tc>
          <w:tcPr>
            <w:tcW w:w="1377" w:type="dxa"/>
            <w:tcBorders>
              <w:top w:val="nil"/>
              <w:left w:val="nil"/>
              <w:bottom w:val="single" w:sz="4" w:space="0" w:color="auto"/>
              <w:right w:val="single" w:sz="4" w:space="0" w:color="auto"/>
            </w:tcBorders>
            <w:shd w:val="clear" w:color="auto" w:fill="auto"/>
            <w:noWrap/>
            <w:vAlign w:val="bottom"/>
            <w:hideMark/>
          </w:tcPr>
          <w:p w:rsidR="00E137C9" w:rsidRDefault="00E137C9" w:rsidP="00E137C9">
            <w:pPr>
              <w:spacing w:after="100" w:afterAutospacing="1"/>
              <w:jc w:val="right"/>
              <w:rPr>
                <w:rFonts w:ascii="Tahoma" w:hAnsi="Tahoma" w:cs="Tahoma"/>
                <w:color w:val="000000"/>
                <w:sz w:val="16"/>
                <w:szCs w:val="16"/>
              </w:rPr>
            </w:pPr>
            <w:r>
              <w:rPr>
                <w:rFonts w:ascii="Tahoma" w:hAnsi="Tahoma" w:cs="Tahoma"/>
                <w:color w:val="000000"/>
                <w:sz w:val="16"/>
                <w:szCs w:val="16"/>
              </w:rPr>
              <w:t>6.52</w:t>
            </w:r>
          </w:p>
        </w:tc>
        <w:tc>
          <w:tcPr>
            <w:tcW w:w="1661" w:type="dxa"/>
            <w:tcBorders>
              <w:top w:val="nil"/>
              <w:left w:val="nil"/>
              <w:bottom w:val="single" w:sz="4" w:space="0" w:color="auto"/>
              <w:right w:val="single" w:sz="4" w:space="0" w:color="auto"/>
            </w:tcBorders>
            <w:shd w:val="clear" w:color="auto" w:fill="auto"/>
            <w:noWrap/>
            <w:vAlign w:val="bottom"/>
            <w:hideMark/>
          </w:tcPr>
          <w:p w:rsidR="00E137C9" w:rsidRDefault="00E137C9" w:rsidP="00E137C9">
            <w:pPr>
              <w:spacing w:after="100" w:afterAutospacing="1"/>
              <w:jc w:val="right"/>
              <w:rPr>
                <w:rFonts w:ascii="Tahoma" w:hAnsi="Tahoma" w:cs="Tahoma"/>
                <w:color w:val="000000"/>
                <w:sz w:val="16"/>
                <w:szCs w:val="16"/>
              </w:rPr>
            </w:pPr>
            <w:r>
              <w:rPr>
                <w:rFonts w:ascii="Tahoma" w:hAnsi="Tahoma" w:cs="Tahoma"/>
                <w:color w:val="000000"/>
                <w:sz w:val="16"/>
                <w:szCs w:val="16"/>
              </w:rPr>
              <w:t>351.39</w:t>
            </w:r>
          </w:p>
        </w:tc>
        <w:tc>
          <w:tcPr>
            <w:tcW w:w="1559" w:type="dxa"/>
            <w:tcBorders>
              <w:top w:val="nil"/>
              <w:left w:val="nil"/>
              <w:bottom w:val="single" w:sz="4" w:space="0" w:color="auto"/>
              <w:right w:val="single" w:sz="4" w:space="0" w:color="auto"/>
            </w:tcBorders>
            <w:shd w:val="clear" w:color="auto" w:fill="auto"/>
            <w:noWrap/>
            <w:vAlign w:val="bottom"/>
            <w:hideMark/>
          </w:tcPr>
          <w:p w:rsidR="00E137C9" w:rsidRDefault="00E137C9" w:rsidP="00E137C9">
            <w:pPr>
              <w:spacing w:after="100" w:afterAutospacing="1"/>
              <w:jc w:val="right"/>
              <w:rPr>
                <w:rFonts w:ascii="Tahoma" w:hAnsi="Tahoma" w:cs="Tahoma"/>
                <w:color w:val="000000"/>
                <w:sz w:val="16"/>
                <w:szCs w:val="16"/>
              </w:rPr>
            </w:pPr>
            <w:r>
              <w:rPr>
                <w:rFonts w:ascii="Tahoma" w:hAnsi="Tahoma" w:cs="Tahoma"/>
                <w:color w:val="000000"/>
                <w:sz w:val="16"/>
                <w:szCs w:val="16"/>
              </w:rPr>
              <w:t>148.76</w:t>
            </w:r>
          </w:p>
        </w:tc>
        <w:tc>
          <w:tcPr>
            <w:tcW w:w="1418" w:type="dxa"/>
            <w:tcBorders>
              <w:top w:val="nil"/>
              <w:left w:val="nil"/>
              <w:bottom w:val="single" w:sz="4" w:space="0" w:color="auto"/>
              <w:right w:val="single" w:sz="4" w:space="0" w:color="auto"/>
            </w:tcBorders>
            <w:shd w:val="clear" w:color="auto" w:fill="auto"/>
            <w:noWrap/>
            <w:vAlign w:val="bottom"/>
            <w:hideMark/>
          </w:tcPr>
          <w:p w:rsidR="00E137C9" w:rsidRDefault="00E137C9" w:rsidP="00E137C9">
            <w:pPr>
              <w:spacing w:after="100" w:afterAutospacing="1"/>
              <w:jc w:val="right"/>
              <w:rPr>
                <w:rFonts w:ascii="Tahoma" w:hAnsi="Tahoma" w:cs="Tahoma"/>
                <w:color w:val="000000"/>
                <w:sz w:val="16"/>
                <w:szCs w:val="16"/>
              </w:rPr>
            </w:pPr>
            <w:r>
              <w:rPr>
                <w:rFonts w:ascii="Tahoma" w:hAnsi="Tahoma" w:cs="Tahoma"/>
                <w:color w:val="000000"/>
                <w:sz w:val="16"/>
                <w:szCs w:val="16"/>
              </w:rPr>
              <w:t>604.66</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E137C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E137C9" w:rsidRDefault="00E137C9" w:rsidP="00E137C9">
            <w:pPr>
              <w:spacing w:after="100" w:afterAutospacing="1"/>
              <w:rPr>
                <w:rFonts w:ascii="Tahoma" w:hAnsi="Tahoma" w:cs="Tahoma"/>
                <w:color w:val="000000"/>
                <w:sz w:val="16"/>
                <w:szCs w:val="16"/>
              </w:rPr>
            </w:pPr>
            <w:r>
              <w:rPr>
                <w:rFonts w:ascii="Tahoma" w:hAnsi="Tahoma" w:cs="Tahoma"/>
                <w:color w:val="000000"/>
                <w:sz w:val="16"/>
                <w:szCs w:val="16"/>
              </w:rPr>
              <w:t>Kent</w:t>
            </w:r>
          </w:p>
        </w:tc>
        <w:tc>
          <w:tcPr>
            <w:tcW w:w="1276" w:type="dxa"/>
            <w:tcBorders>
              <w:top w:val="nil"/>
              <w:left w:val="nil"/>
              <w:bottom w:val="single" w:sz="4" w:space="0" w:color="auto"/>
              <w:right w:val="single" w:sz="4" w:space="0" w:color="auto"/>
            </w:tcBorders>
            <w:shd w:val="clear" w:color="auto" w:fill="auto"/>
            <w:noWrap/>
            <w:vAlign w:val="bottom"/>
            <w:hideMark/>
          </w:tcPr>
          <w:p w:rsidR="00E137C9" w:rsidRDefault="00E137C9" w:rsidP="00E137C9">
            <w:pPr>
              <w:spacing w:after="100" w:afterAutospacing="1"/>
              <w:jc w:val="right"/>
              <w:rPr>
                <w:rFonts w:ascii="Tahoma" w:hAnsi="Tahoma" w:cs="Tahoma"/>
                <w:color w:val="000000"/>
                <w:sz w:val="16"/>
                <w:szCs w:val="16"/>
              </w:rPr>
            </w:pPr>
            <w:r>
              <w:rPr>
                <w:rFonts w:ascii="Tahoma" w:hAnsi="Tahoma" w:cs="Tahoma"/>
                <w:color w:val="000000"/>
                <w:sz w:val="16"/>
                <w:szCs w:val="16"/>
              </w:rPr>
              <w:t>193.6</w:t>
            </w:r>
          </w:p>
        </w:tc>
        <w:tc>
          <w:tcPr>
            <w:tcW w:w="1417" w:type="dxa"/>
            <w:tcBorders>
              <w:top w:val="nil"/>
              <w:left w:val="nil"/>
              <w:bottom w:val="single" w:sz="4" w:space="0" w:color="auto"/>
              <w:right w:val="single" w:sz="4" w:space="0" w:color="auto"/>
            </w:tcBorders>
            <w:shd w:val="clear" w:color="auto" w:fill="auto"/>
            <w:noWrap/>
            <w:vAlign w:val="bottom"/>
            <w:hideMark/>
          </w:tcPr>
          <w:p w:rsidR="00E137C9" w:rsidRDefault="00E137C9" w:rsidP="00E137C9">
            <w:pPr>
              <w:spacing w:after="100" w:afterAutospacing="1"/>
              <w:jc w:val="right"/>
              <w:rPr>
                <w:rFonts w:ascii="Tahoma" w:hAnsi="Tahoma" w:cs="Tahoma"/>
                <w:color w:val="000000"/>
                <w:sz w:val="16"/>
                <w:szCs w:val="16"/>
              </w:rPr>
            </w:pPr>
            <w:r>
              <w:rPr>
                <w:rFonts w:ascii="Tahoma" w:hAnsi="Tahoma" w:cs="Tahoma"/>
                <w:color w:val="000000"/>
                <w:sz w:val="16"/>
                <w:szCs w:val="16"/>
              </w:rPr>
              <w:t>77.6</w:t>
            </w:r>
          </w:p>
        </w:tc>
        <w:tc>
          <w:tcPr>
            <w:tcW w:w="1559" w:type="dxa"/>
            <w:tcBorders>
              <w:top w:val="nil"/>
              <w:left w:val="nil"/>
              <w:bottom w:val="single" w:sz="4" w:space="0" w:color="auto"/>
              <w:right w:val="single" w:sz="4" w:space="0" w:color="auto"/>
            </w:tcBorders>
            <w:shd w:val="clear" w:color="auto" w:fill="auto"/>
            <w:noWrap/>
            <w:vAlign w:val="bottom"/>
            <w:hideMark/>
          </w:tcPr>
          <w:p w:rsidR="00E137C9" w:rsidRDefault="00E137C9" w:rsidP="00E137C9">
            <w:pPr>
              <w:spacing w:after="100" w:afterAutospacing="1"/>
              <w:jc w:val="right"/>
              <w:rPr>
                <w:rFonts w:ascii="Tahoma" w:hAnsi="Tahoma" w:cs="Tahoma"/>
                <w:color w:val="000000"/>
                <w:sz w:val="16"/>
                <w:szCs w:val="16"/>
              </w:rPr>
            </w:pPr>
            <w:r>
              <w:rPr>
                <w:rFonts w:ascii="Tahoma" w:hAnsi="Tahoma" w:cs="Tahoma"/>
                <w:color w:val="000000"/>
                <w:sz w:val="16"/>
                <w:szCs w:val="16"/>
              </w:rPr>
              <w:t>3084.3</w:t>
            </w:r>
          </w:p>
        </w:tc>
        <w:tc>
          <w:tcPr>
            <w:tcW w:w="1560" w:type="dxa"/>
            <w:tcBorders>
              <w:top w:val="nil"/>
              <w:left w:val="nil"/>
              <w:bottom w:val="single" w:sz="4" w:space="0" w:color="auto"/>
              <w:right w:val="single" w:sz="4" w:space="0" w:color="auto"/>
            </w:tcBorders>
            <w:shd w:val="clear" w:color="auto" w:fill="auto"/>
            <w:noWrap/>
            <w:vAlign w:val="bottom"/>
            <w:hideMark/>
          </w:tcPr>
          <w:p w:rsidR="00E137C9" w:rsidRDefault="00E137C9" w:rsidP="00E137C9">
            <w:pPr>
              <w:spacing w:after="100" w:afterAutospacing="1"/>
              <w:jc w:val="right"/>
              <w:rPr>
                <w:rFonts w:ascii="Tahoma" w:hAnsi="Tahoma" w:cs="Tahoma"/>
                <w:color w:val="000000"/>
                <w:sz w:val="16"/>
                <w:szCs w:val="16"/>
              </w:rPr>
            </w:pPr>
            <w:r>
              <w:rPr>
                <w:rFonts w:ascii="Tahoma" w:hAnsi="Tahoma" w:cs="Tahoma"/>
                <w:color w:val="000000"/>
                <w:sz w:val="16"/>
                <w:szCs w:val="16"/>
              </w:rPr>
              <w:t>1626.2</w:t>
            </w:r>
          </w:p>
        </w:tc>
        <w:tc>
          <w:tcPr>
            <w:tcW w:w="1559" w:type="dxa"/>
            <w:tcBorders>
              <w:top w:val="nil"/>
              <w:left w:val="nil"/>
              <w:bottom w:val="single" w:sz="4" w:space="0" w:color="auto"/>
              <w:right w:val="single" w:sz="4" w:space="0" w:color="auto"/>
            </w:tcBorders>
            <w:shd w:val="clear" w:color="auto" w:fill="auto"/>
            <w:noWrap/>
            <w:vAlign w:val="bottom"/>
            <w:hideMark/>
          </w:tcPr>
          <w:p w:rsidR="00E137C9" w:rsidRDefault="00E137C9" w:rsidP="00E137C9">
            <w:pPr>
              <w:spacing w:after="100" w:afterAutospacing="1"/>
              <w:jc w:val="right"/>
              <w:rPr>
                <w:rFonts w:ascii="Tahoma" w:hAnsi="Tahoma" w:cs="Tahoma"/>
                <w:color w:val="000000"/>
                <w:sz w:val="16"/>
                <w:szCs w:val="16"/>
              </w:rPr>
            </w:pPr>
            <w:r>
              <w:rPr>
                <w:rFonts w:ascii="Tahoma" w:hAnsi="Tahoma" w:cs="Tahoma"/>
                <w:color w:val="000000"/>
                <w:sz w:val="16"/>
                <w:szCs w:val="16"/>
              </w:rPr>
              <w:t>4981.6</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E137C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E137C9" w:rsidRDefault="00E137C9" w:rsidP="00E137C9">
            <w:pPr>
              <w:spacing w:after="100" w:afterAutospacing="1"/>
              <w:rPr>
                <w:rFonts w:ascii="Tahoma" w:hAnsi="Tahoma" w:cs="Tahoma"/>
                <w:color w:val="000000"/>
                <w:sz w:val="16"/>
                <w:szCs w:val="16"/>
              </w:rPr>
            </w:pPr>
            <w:r>
              <w:rPr>
                <w:rFonts w:ascii="Tahoma" w:hAnsi="Tahoma" w:cs="Tahoma"/>
                <w:color w:val="000000"/>
                <w:sz w:val="16"/>
                <w:szCs w:val="16"/>
              </w:rPr>
              <w:t>Kent</w:t>
            </w:r>
          </w:p>
        </w:tc>
        <w:tc>
          <w:tcPr>
            <w:tcW w:w="1843" w:type="dxa"/>
            <w:tcBorders>
              <w:top w:val="nil"/>
              <w:left w:val="nil"/>
              <w:bottom w:val="single" w:sz="4" w:space="0" w:color="auto"/>
              <w:right w:val="single" w:sz="4" w:space="0" w:color="auto"/>
            </w:tcBorders>
            <w:shd w:val="clear" w:color="auto" w:fill="auto"/>
            <w:noWrap/>
            <w:vAlign w:val="bottom"/>
            <w:hideMark/>
          </w:tcPr>
          <w:p w:rsidR="00E137C9" w:rsidRDefault="00E137C9" w:rsidP="00E137C9">
            <w:pPr>
              <w:spacing w:after="100" w:afterAutospacing="1"/>
              <w:jc w:val="right"/>
              <w:rPr>
                <w:rFonts w:ascii="Tahoma" w:hAnsi="Tahoma" w:cs="Tahoma"/>
                <w:color w:val="000000"/>
                <w:sz w:val="16"/>
                <w:szCs w:val="16"/>
              </w:rPr>
            </w:pPr>
            <w:r>
              <w:rPr>
                <w:rFonts w:ascii="Tahoma" w:hAnsi="Tahoma" w:cs="Tahoma"/>
                <w:color w:val="000000"/>
                <w:sz w:val="16"/>
                <w:szCs w:val="16"/>
              </w:rPr>
              <w:t>204.99</w:t>
            </w:r>
          </w:p>
        </w:tc>
        <w:tc>
          <w:tcPr>
            <w:tcW w:w="1984" w:type="dxa"/>
            <w:tcBorders>
              <w:top w:val="nil"/>
              <w:left w:val="nil"/>
              <w:bottom w:val="single" w:sz="4" w:space="0" w:color="auto"/>
              <w:right w:val="single" w:sz="4" w:space="0" w:color="auto"/>
            </w:tcBorders>
            <w:shd w:val="clear" w:color="auto" w:fill="auto"/>
            <w:noWrap/>
            <w:vAlign w:val="bottom"/>
            <w:hideMark/>
          </w:tcPr>
          <w:p w:rsidR="00E137C9" w:rsidRDefault="00E137C9" w:rsidP="00E137C9">
            <w:pPr>
              <w:spacing w:after="100" w:afterAutospacing="1"/>
              <w:jc w:val="right"/>
              <w:rPr>
                <w:rFonts w:ascii="Tahoma" w:hAnsi="Tahoma" w:cs="Tahoma"/>
                <w:color w:val="000000"/>
                <w:sz w:val="16"/>
                <w:szCs w:val="16"/>
              </w:rPr>
            </w:pPr>
            <w:r>
              <w:rPr>
                <w:rFonts w:ascii="Tahoma" w:hAnsi="Tahoma" w:cs="Tahoma"/>
                <w:color w:val="000000"/>
                <w:sz w:val="16"/>
                <w:szCs w:val="16"/>
              </w:rPr>
              <w:t>500.14</w:t>
            </w:r>
          </w:p>
        </w:tc>
        <w:tc>
          <w:tcPr>
            <w:tcW w:w="1843" w:type="dxa"/>
            <w:tcBorders>
              <w:top w:val="nil"/>
              <w:left w:val="nil"/>
              <w:bottom w:val="single" w:sz="4" w:space="0" w:color="auto"/>
              <w:right w:val="single" w:sz="4" w:space="0" w:color="auto"/>
            </w:tcBorders>
            <w:shd w:val="clear" w:color="auto" w:fill="auto"/>
            <w:noWrap/>
            <w:vAlign w:val="bottom"/>
            <w:hideMark/>
          </w:tcPr>
          <w:p w:rsidR="00E137C9" w:rsidRDefault="00E137C9" w:rsidP="00E137C9">
            <w:pPr>
              <w:spacing w:after="100" w:afterAutospacing="1"/>
              <w:jc w:val="right"/>
              <w:rPr>
                <w:rFonts w:ascii="Tahoma" w:hAnsi="Tahoma" w:cs="Tahoma"/>
                <w:color w:val="000000"/>
                <w:sz w:val="16"/>
                <w:szCs w:val="16"/>
              </w:rPr>
            </w:pPr>
            <w:r>
              <w:rPr>
                <w:rFonts w:ascii="Tahoma" w:hAnsi="Tahoma" w:cs="Tahoma"/>
                <w:color w:val="000000"/>
                <w:sz w:val="16"/>
                <w:szCs w:val="16"/>
              </w:rPr>
              <w:t>4981.6</w:t>
            </w:r>
          </w:p>
        </w:tc>
        <w:tc>
          <w:tcPr>
            <w:tcW w:w="1701" w:type="dxa"/>
            <w:tcBorders>
              <w:top w:val="nil"/>
              <w:left w:val="nil"/>
              <w:bottom w:val="single" w:sz="4" w:space="0" w:color="auto"/>
              <w:right w:val="single" w:sz="4" w:space="0" w:color="auto"/>
            </w:tcBorders>
            <w:shd w:val="clear" w:color="auto" w:fill="auto"/>
            <w:noWrap/>
            <w:vAlign w:val="bottom"/>
            <w:hideMark/>
          </w:tcPr>
          <w:p w:rsidR="00E137C9" w:rsidRDefault="00E137C9" w:rsidP="00E137C9">
            <w:pPr>
              <w:spacing w:after="100" w:afterAutospacing="1"/>
              <w:jc w:val="right"/>
              <w:rPr>
                <w:rFonts w:ascii="Tahoma" w:hAnsi="Tahoma" w:cs="Tahoma"/>
                <w:color w:val="000000"/>
                <w:sz w:val="16"/>
                <w:szCs w:val="16"/>
              </w:rPr>
            </w:pPr>
            <w:r>
              <w:rPr>
                <w:rFonts w:ascii="Tahoma" w:hAnsi="Tahoma" w:cs="Tahoma"/>
                <w:color w:val="000000"/>
                <w:sz w:val="16"/>
                <w:szCs w:val="16"/>
              </w:rPr>
              <w:t>5686.8</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E137C9" w:rsidRPr="009500DD" w:rsidTr="00E137C9">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37C9" w:rsidRDefault="00E137C9" w:rsidP="00E137C9">
            <w:pPr>
              <w:spacing w:after="100" w:afterAutospacing="1"/>
              <w:rPr>
                <w:rFonts w:ascii="Calibri" w:hAnsi="Calibri" w:cs="Calibri"/>
                <w:color w:val="000000"/>
              </w:rPr>
            </w:pPr>
            <w:r>
              <w:rPr>
                <w:rFonts w:ascii="Calibri" w:hAnsi="Calibri" w:cs="Calibri"/>
                <w:color w:val="000000"/>
              </w:rPr>
              <w:t>Road length of principal roads in Kent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E137C9" w:rsidRDefault="00E137C9" w:rsidP="00E137C9">
            <w:pPr>
              <w:spacing w:after="100" w:afterAutospacing="1"/>
              <w:rPr>
                <w:rFonts w:ascii="Calibri" w:hAnsi="Calibri" w:cs="Calibri"/>
                <w:color w:val="000000"/>
              </w:rPr>
            </w:pPr>
            <w:r>
              <w:rPr>
                <w:rFonts w:ascii="Calibri" w:hAnsi="Calibri" w:cs="Calibri"/>
                <w:color w:val="000000"/>
              </w:rPr>
              <w:t>15miles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E137C9" w:rsidRPr="009500DD" w:rsidTr="00E137C9">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137C9" w:rsidRDefault="00E137C9" w:rsidP="00E137C9">
            <w:pPr>
              <w:spacing w:after="100" w:afterAutospacing="1"/>
              <w:rPr>
                <w:rFonts w:ascii="Calibri" w:hAnsi="Calibri" w:cs="Calibri"/>
                <w:color w:val="000000"/>
              </w:rPr>
            </w:pPr>
            <w:r>
              <w:rPr>
                <w:rFonts w:ascii="Calibri" w:hAnsi="Calibri" w:cs="Calibri"/>
                <w:color w:val="000000"/>
              </w:rPr>
              <w:t>Road length of non-principal roads in Kent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E137C9" w:rsidRDefault="00E137C9" w:rsidP="00E137C9">
            <w:pPr>
              <w:spacing w:after="100" w:afterAutospacing="1"/>
              <w:rPr>
                <w:rFonts w:ascii="Calibri" w:hAnsi="Calibri" w:cs="Calibri"/>
                <w:color w:val="000000"/>
              </w:rPr>
            </w:pPr>
            <w:r>
              <w:rPr>
                <w:rFonts w:ascii="Calibri" w:hAnsi="Calibri" w:cs="Calibri"/>
                <w:color w:val="000000"/>
              </w:rPr>
              <w:t>249miles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158B1"/>
    <w:rsid w:val="00023D6D"/>
    <w:rsid w:val="00034AE0"/>
    <w:rsid w:val="0004365F"/>
    <w:rsid w:val="00054C2A"/>
    <w:rsid w:val="00057D91"/>
    <w:rsid w:val="00075447"/>
    <w:rsid w:val="00077094"/>
    <w:rsid w:val="000A253B"/>
    <w:rsid w:val="000A31A2"/>
    <w:rsid w:val="000B410A"/>
    <w:rsid w:val="000D1137"/>
    <w:rsid w:val="000D7426"/>
    <w:rsid w:val="000E0225"/>
    <w:rsid w:val="000E6E0C"/>
    <w:rsid w:val="00111193"/>
    <w:rsid w:val="001157F0"/>
    <w:rsid w:val="00123766"/>
    <w:rsid w:val="00136993"/>
    <w:rsid w:val="00137983"/>
    <w:rsid w:val="001458E3"/>
    <w:rsid w:val="00153631"/>
    <w:rsid w:val="00154234"/>
    <w:rsid w:val="00162CA7"/>
    <w:rsid w:val="00163203"/>
    <w:rsid w:val="00163DF2"/>
    <w:rsid w:val="00171D21"/>
    <w:rsid w:val="001779A1"/>
    <w:rsid w:val="00182EBD"/>
    <w:rsid w:val="001B2B01"/>
    <w:rsid w:val="001B78DE"/>
    <w:rsid w:val="001C52DE"/>
    <w:rsid w:val="001D6CB6"/>
    <w:rsid w:val="001E09A4"/>
    <w:rsid w:val="001F4A28"/>
    <w:rsid w:val="00212307"/>
    <w:rsid w:val="00214346"/>
    <w:rsid w:val="0021628D"/>
    <w:rsid w:val="002211F3"/>
    <w:rsid w:val="00230CF6"/>
    <w:rsid w:val="002408BD"/>
    <w:rsid w:val="00246E3A"/>
    <w:rsid w:val="00256D31"/>
    <w:rsid w:val="00257FBA"/>
    <w:rsid w:val="002651E1"/>
    <w:rsid w:val="00274ED9"/>
    <w:rsid w:val="002B39D0"/>
    <w:rsid w:val="002C6BB4"/>
    <w:rsid w:val="002D62CB"/>
    <w:rsid w:val="00326C5A"/>
    <w:rsid w:val="00340480"/>
    <w:rsid w:val="00340CF5"/>
    <w:rsid w:val="00357E6D"/>
    <w:rsid w:val="00360FD9"/>
    <w:rsid w:val="00377466"/>
    <w:rsid w:val="003815DA"/>
    <w:rsid w:val="00383CA1"/>
    <w:rsid w:val="003878B8"/>
    <w:rsid w:val="003B5117"/>
    <w:rsid w:val="003C1462"/>
    <w:rsid w:val="003C40D8"/>
    <w:rsid w:val="003C7651"/>
    <w:rsid w:val="003D7517"/>
    <w:rsid w:val="004020A5"/>
    <w:rsid w:val="004033DF"/>
    <w:rsid w:val="00415E18"/>
    <w:rsid w:val="00417448"/>
    <w:rsid w:val="00427EEE"/>
    <w:rsid w:val="00443081"/>
    <w:rsid w:val="00445CF6"/>
    <w:rsid w:val="00451FF7"/>
    <w:rsid w:val="004623CF"/>
    <w:rsid w:val="00465750"/>
    <w:rsid w:val="00475274"/>
    <w:rsid w:val="004972B9"/>
    <w:rsid w:val="004A1C29"/>
    <w:rsid w:val="004A44E1"/>
    <w:rsid w:val="004B4BE1"/>
    <w:rsid w:val="004C095C"/>
    <w:rsid w:val="004C2A1C"/>
    <w:rsid w:val="004D3814"/>
    <w:rsid w:val="004E747D"/>
    <w:rsid w:val="004F2E97"/>
    <w:rsid w:val="00500FD5"/>
    <w:rsid w:val="00513C6F"/>
    <w:rsid w:val="00517C92"/>
    <w:rsid w:val="0052568F"/>
    <w:rsid w:val="00541C1B"/>
    <w:rsid w:val="00545A25"/>
    <w:rsid w:val="0054613A"/>
    <w:rsid w:val="00555F9F"/>
    <w:rsid w:val="00557B7F"/>
    <w:rsid w:val="0057388A"/>
    <w:rsid w:val="00575E1E"/>
    <w:rsid w:val="00587D4E"/>
    <w:rsid w:val="005947D7"/>
    <w:rsid w:val="005B3FA2"/>
    <w:rsid w:val="005C33B2"/>
    <w:rsid w:val="005F3CCB"/>
    <w:rsid w:val="00600EBE"/>
    <w:rsid w:val="00602484"/>
    <w:rsid w:val="00604F05"/>
    <w:rsid w:val="0060780B"/>
    <w:rsid w:val="00614B35"/>
    <w:rsid w:val="00616D21"/>
    <w:rsid w:val="006245BC"/>
    <w:rsid w:val="00630C41"/>
    <w:rsid w:val="006464CF"/>
    <w:rsid w:val="0065405D"/>
    <w:rsid w:val="00665AAB"/>
    <w:rsid w:val="00671DC6"/>
    <w:rsid w:val="00675025"/>
    <w:rsid w:val="00680CB9"/>
    <w:rsid w:val="0068362E"/>
    <w:rsid w:val="00692E85"/>
    <w:rsid w:val="006931D7"/>
    <w:rsid w:val="006A3967"/>
    <w:rsid w:val="006A58A6"/>
    <w:rsid w:val="006D6F09"/>
    <w:rsid w:val="006E0A15"/>
    <w:rsid w:val="006E2261"/>
    <w:rsid w:val="006F2C9A"/>
    <w:rsid w:val="006F4FD3"/>
    <w:rsid w:val="006F75BA"/>
    <w:rsid w:val="0070182B"/>
    <w:rsid w:val="00707CEB"/>
    <w:rsid w:val="00715D9D"/>
    <w:rsid w:val="00727708"/>
    <w:rsid w:val="007404AB"/>
    <w:rsid w:val="0075601D"/>
    <w:rsid w:val="00765529"/>
    <w:rsid w:val="007669F4"/>
    <w:rsid w:val="00786635"/>
    <w:rsid w:val="007B5629"/>
    <w:rsid w:val="007C052F"/>
    <w:rsid w:val="007D3509"/>
    <w:rsid w:val="007D4BF5"/>
    <w:rsid w:val="007E0505"/>
    <w:rsid w:val="007E22E4"/>
    <w:rsid w:val="007E65D3"/>
    <w:rsid w:val="007F5F54"/>
    <w:rsid w:val="007F66C5"/>
    <w:rsid w:val="008211F5"/>
    <w:rsid w:val="00823FAE"/>
    <w:rsid w:val="00826B10"/>
    <w:rsid w:val="0083304D"/>
    <w:rsid w:val="00843934"/>
    <w:rsid w:val="00855650"/>
    <w:rsid w:val="008615B3"/>
    <w:rsid w:val="00863A32"/>
    <w:rsid w:val="00867BF8"/>
    <w:rsid w:val="00884EF2"/>
    <w:rsid w:val="00886701"/>
    <w:rsid w:val="00886FEC"/>
    <w:rsid w:val="00890675"/>
    <w:rsid w:val="008A1121"/>
    <w:rsid w:val="008B21E0"/>
    <w:rsid w:val="008B3FB0"/>
    <w:rsid w:val="008C071D"/>
    <w:rsid w:val="008C78B5"/>
    <w:rsid w:val="008D1139"/>
    <w:rsid w:val="008D66C0"/>
    <w:rsid w:val="008F3CBB"/>
    <w:rsid w:val="009500DD"/>
    <w:rsid w:val="009504FF"/>
    <w:rsid w:val="009528EC"/>
    <w:rsid w:val="009576E7"/>
    <w:rsid w:val="009579D3"/>
    <w:rsid w:val="009676E3"/>
    <w:rsid w:val="009867B6"/>
    <w:rsid w:val="0098788A"/>
    <w:rsid w:val="009902B8"/>
    <w:rsid w:val="009B0857"/>
    <w:rsid w:val="009B632B"/>
    <w:rsid w:val="009B687B"/>
    <w:rsid w:val="009D5C2F"/>
    <w:rsid w:val="009E5806"/>
    <w:rsid w:val="00A02536"/>
    <w:rsid w:val="00A16075"/>
    <w:rsid w:val="00A3620F"/>
    <w:rsid w:val="00A44C1F"/>
    <w:rsid w:val="00A504D8"/>
    <w:rsid w:val="00A55118"/>
    <w:rsid w:val="00A57F92"/>
    <w:rsid w:val="00A61248"/>
    <w:rsid w:val="00A67FA7"/>
    <w:rsid w:val="00A75DA5"/>
    <w:rsid w:val="00AA1C54"/>
    <w:rsid w:val="00AA4EAF"/>
    <w:rsid w:val="00AB2003"/>
    <w:rsid w:val="00AC18BA"/>
    <w:rsid w:val="00AE3362"/>
    <w:rsid w:val="00AF0048"/>
    <w:rsid w:val="00AF75AC"/>
    <w:rsid w:val="00B4609A"/>
    <w:rsid w:val="00B66EC4"/>
    <w:rsid w:val="00B71733"/>
    <w:rsid w:val="00B82315"/>
    <w:rsid w:val="00B84331"/>
    <w:rsid w:val="00B967F2"/>
    <w:rsid w:val="00BA5521"/>
    <w:rsid w:val="00BB01EE"/>
    <w:rsid w:val="00BE0C65"/>
    <w:rsid w:val="00BE32D1"/>
    <w:rsid w:val="00BE3B1E"/>
    <w:rsid w:val="00BF0BE9"/>
    <w:rsid w:val="00BF44B3"/>
    <w:rsid w:val="00C027BE"/>
    <w:rsid w:val="00C07765"/>
    <w:rsid w:val="00C13421"/>
    <w:rsid w:val="00C26302"/>
    <w:rsid w:val="00C27833"/>
    <w:rsid w:val="00C33EE4"/>
    <w:rsid w:val="00C345EF"/>
    <w:rsid w:val="00C427E1"/>
    <w:rsid w:val="00C45184"/>
    <w:rsid w:val="00C60E60"/>
    <w:rsid w:val="00C62E3C"/>
    <w:rsid w:val="00C63A68"/>
    <w:rsid w:val="00C66719"/>
    <w:rsid w:val="00C85FB2"/>
    <w:rsid w:val="00CA0B05"/>
    <w:rsid w:val="00CB452F"/>
    <w:rsid w:val="00CD17F8"/>
    <w:rsid w:val="00CF7E07"/>
    <w:rsid w:val="00D1146E"/>
    <w:rsid w:val="00D170C3"/>
    <w:rsid w:val="00D31FBD"/>
    <w:rsid w:val="00D32C9E"/>
    <w:rsid w:val="00D34678"/>
    <w:rsid w:val="00D3717A"/>
    <w:rsid w:val="00D51F64"/>
    <w:rsid w:val="00D60E26"/>
    <w:rsid w:val="00D61059"/>
    <w:rsid w:val="00D625BB"/>
    <w:rsid w:val="00D711F4"/>
    <w:rsid w:val="00D85C8C"/>
    <w:rsid w:val="00D86CE5"/>
    <w:rsid w:val="00D9047C"/>
    <w:rsid w:val="00DA2FFE"/>
    <w:rsid w:val="00DA3CE6"/>
    <w:rsid w:val="00DB0C84"/>
    <w:rsid w:val="00DC21A8"/>
    <w:rsid w:val="00DD0F1F"/>
    <w:rsid w:val="00DE1D53"/>
    <w:rsid w:val="00DE28F6"/>
    <w:rsid w:val="00DE69DB"/>
    <w:rsid w:val="00DF55FA"/>
    <w:rsid w:val="00E06E00"/>
    <w:rsid w:val="00E07698"/>
    <w:rsid w:val="00E137C9"/>
    <w:rsid w:val="00E17957"/>
    <w:rsid w:val="00E21DB6"/>
    <w:rsid w:val="00E24A9C"/>
    <w:rsid w:val="00E33D6C"/>
    <w:rsid w:val="00E43E31"/>
    <w:rsid w:val="00E51B66"/>
    <w:rsid w:val="00E57E59"/>
    <w:rsid w:val="00E60537"/>
    <w:rsid w:val="00E7007C"/>
    <w:rsid w:val="00E866F7"/>
    <w:rsid w:val="00EB236D"/>
    <w:rsid w:val="00EB5237"/>
    <w:rsid w:val="00EC3808"/>
    <w:rsid w:val="00ED52B1"/>
    <w:rsid w:val="00EE29BA"/>
    <w:rsid w:val="00EE339D"/>
    <w:rsid w:val="00EF556D"/>
    <w:rsid w:val="00EF5EFE"/>
    <w:rsid w:val="00EF6F56"/>
    <w:rsid w:val="00F06E52"/>
    <w:rsid w:val="00F3443F"/>
    <w:rsid w:val="00F37401"/>
    <w:rsid w:val="00F6181E"/>
    <w:rsid w:val="00F624C0"/>
    <w:rsid w:val="00F7542E"/>
    <w:rsid w:val="00F8009A"/>
    <w:rsid w:val="00F84615"/>
    <w:rsid w:val="00F93AE4"/>
    <w:rsid w:val="00FA341B"/>
    <w:rsid w:val="00FA49E0"/>
    <w:rsid w:val="00FA7924"/>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Ashford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12.070866476659212</c:v>
                </c:pt>
                <c:pt idx="1">
                  <c:v>12.135755253735599</c:v>
                </c:pt>
                <c:pt idx="2">
                  <c:v>19.066918421310124</c:v>
                </c:pt>
              </c:numCache>
            </c:numRef>
          </c:val>
        </c:ser>
        <c:marker val="1"/>
        <c:axId val="157338624"/>
        <c:axId val="157377280"/>
      </c:lineChart>
      <c:catAx>
        <c:axId val="157338624"/>
        <c:scaling>
          <c:orientation val="minMax"/>
        </c:scaling>
        <c:axPos val="b"/>
        <c:numFmt formatCode="General" sourceLinked="1"/>
        <c:tickLblPos val="nextTo"/>
        <c:crossAx val="157377280"/>
        <c:crosses val="autoZero"/>
        <c:auto val="1"/>
        <c:lblAlgn val="ctr"/>
        <c:lblOffset val="100"/>
      </c:catAx>
      <c:valAx>
        <c:axId val="15737728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338624"/>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Ashford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11.619535594982223</c:v>
                </c:pt>
                <c:pt idx="1">
                  <c:v>11.843951373031301</c:v>
                </c:pt>
                <c:pt idx="2">
                  <c:v>12.190782357007715</c:v>
                </c:pt>
              </c:numCache>
            </c:numRef>
          </c:val>
        </c:ser>
        <c:marker val="1"/>
        <c:axId val="158288512"/>
        <c:axId val="158310784"/>
      </c:lineChart>
      <c:catAx>
        <c:axId val="158288512"/>
        <c:scaling>
          <c:orientation val="minMax"/>
        </c:scaling>
        <c:axPos val="b"/>
        <c:numFmt formatCode="General" sourceLinked="1"/>
        <c:tickLblPos val="nextTo"/>
        <c:crossAx val="158310784"/>
        <c:crosses val="autoZero"/>
        <c:auto val="1"/>
        <c:lblAlgn val="ctr"/>
        <c:lblOffset val="100"/>
      </c:catAx>
      <c:valAx>
        <c:axId val="1583107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288512"/>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Ashford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7.4231341696789235</c:v>
                </c:pt>
                <c:pt idx="1">
                  <c:v>7.5542651593011314</c:v>
                </c:pt>
                <c:pt idx="2">
                  <c:v>7.6938335046248714</c:v>
                </c:pt>
              </c:numCache>
            </c:numRef>
          </c:val>
        </c:ser>
        <c:axId val="158346240"/>
        <c:axId val="158356224"/>
      </c:barChart>
      <c:catAx>
        <c:axId val="158346240"/>
        <c:scaling>
          <c:orientation val="minMax"/>
        </c:scaling>
        <c:axPos val="b"/>
        <c:numFmt formatCode="General" sourceLinked="1"/>
        <c:tickLblPos val="nextTo"/>
        <c:crossAx val="158356224"/>
        <c:crosses val="autoZero"/>
        <c:auto val="1"/>
        <c:lblAlgn val="ctr"/>
        <c:lblOffset val="100"/>
      </c:catAx>
      <c:valAx>
        <c:axId val="158356224"/>
        <c:scaling>
          <c:orientation val="minMax"/>
        </c:scaling>
        <c:axPos val="l"/>
        <c:majorGridlines/>
        <c:numFmt formatCode="General" sourceLinked="1"/>
        <c:tickLblPos val="nextTo"/>
        <c:txPr>
          <a:bodyPr/>
          <a:lstStyle/>
          <a:p>
            <a:pPr>
              <a:defRPr sz="800"/>
            </a:pPr>
            <a:endParaRPr lang="en-US"/>
          </a:p>
        </c:txPr>
        <c:crossAx val="158346240"/>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Ashford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9.8771512368245897</c:v>
                </c:pt>
                <c:pt idx="1">
                  <c:v>10.432410847539218</c:v>
                </c:pt>
                <c:pt idx="2">
                  <c:v>10.4401164537004</c:v>
                </c:pt>
              </c:numCache>
            </c:numRef>
          </c:val>
        </c:ser>
        <c:marker val="1"/>
        <c:axId val="158374912"/>
        <c:axId val="158401280"/>
      </c:lineChart>
      <c:catAx>
        <c:axId val="158374912"/>
        <c:scaling>
          <c:orientation val="minMax"/>
        </c:scaling>
        <c:axPos val="b"/>
        <c:numFmt formatCode="General" sourceLinked="1"/>
        <c:tickLblPos val="nextTo"/>
        <c:crossAx val="158401280"/>
        <c:crosses val="autoZero"/>
        <c:auto val="1"/>
        <c:lblAlgn val="ctr"/>
        <c:lblOffset val="100"/>
      </c:catAx>
      <c:valAx>
        <c:axId val="15840128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374912"/>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Ashford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8.2539868169253889</c:v>
                </c:pt>
                <c:pt idx="1">
                  <c:v>8.2989722507707935</c:v>
                </c:pt>
                <c:pt idx="2">
                  <c:v>8.2939362795478058</c:v>
                </c:pt>
              </c:numCache>
            </c:numRef>
          </c:val>
        </c:ser>
        <c:axId val="158436736"/>
        <c:axId val="158446720"/>
      </c:barChart>
      <c:catAx>
        <c:axId val="158436736"/>
        <c:scaling>
          <c:orientation val="minMax"/>
        </c:scaling>
        <c:axPos val="b"/>
        <c:numFmt formatCode="General" sourceLinked="1"/>
        <c:tickLblPos val="nextTo"/>
        <c:crossAx val="158446720"/>
        <c:crosses val="autoZero"/>
        <c:auto val="1"/>
        <c:lblAlgn val="ctr"/>
        <c:lblOffset val="100"/>
      </c:catAx>
      <c:valAx>
        <c:axId val="158446720"/>
        <c:scaling>
          <c:orientation val="minMax"/>
        </c:scaling>
        <c:axPos val="l"/>
        <c:majorGridlines/>
        <c:numFmt formatCode="General" sourceLinked="1"/>
        <c:tickLblPos val="nextTo"/>
        <c:txPr>
          <a:bodyPr/>
          <a:lstStyle/>
          <a:p>
            <a:pPr>
              <a:defRPr sz="800"/>
            </a:pPr>
            <a:endParaRPr lang="en-US"/>
          </a:p>
        </c:txPr>
        <c:crossAx val="158436736"/>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Ashford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8.0433881024949976</c:v>
                </c:pt>
                <c:pt idx="1">
                  <c:v>7.9126212474849096</c:v>
                </c:pt>
                <c:pt idx="2">
                  <c:v>8.0019034192643694</c:v>
                </c:pt>
              </c:numCache>
            </c:numRef>
          </c:val>
        </c:ser>
        <c:marker val="1"/>
        <c:axId val="158473600"/>
        <c:axId val="158483584"/>
      </c:lineChart>
      <c:catAx>
        <c:axId val="158473600"/>
        <c:scaling>
          <c:orientation val="minMax"/>
        </c:scaling>
        <c:axPos val="b"/>
        <c:numFmt formatCode="General" sourceLinked="1"/>
        <c:tickLblPos val="nextTo"/>
        <c:crossAx val="158483584"/>
        <c:crosses val="autoZero"/>
        <c:auto val="1"/>
        <c:lblAlgn val="ctr"/>
        <c:lblOffset val="100"/>
      </c:catAx>
      <c:valAx>
        <c:axId val="15848358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473600"/>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Ashford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58519296"/>
        <c:axId val="158520832"/>
      </c:barChart>
      <c:catAx>
        <c:axId val="158519296"/>
        <c:scaling>
          <c:orientation val="minMax"/>
        </c:scaling>
        <c:axPos val="b"/>
        <c:numFmt formatCode="General" sourceLinked="1"/>
        <c:tickLblPos val="nextTo"/>
        <c:crossAx val="158520832"/>
        <c:crosses val="autoZero"/>
        <c:auto val="1"/>
        <c:lblAlgn val="ctr"/>
        <c:lblOffset val="100"/>
      </c:catAx>
      <c:valAx>
        <c:axId val="158520832"/>
        <c:scaling>
          <c:orientation val="minMax"/>
        </c:scaling>
        <c:axPos val="l"/>
        <c:majorGridlines/>
        <c:numFmt formatCode="General" sourceLinked="1"/>
        <c:tickLblPos val="nextTo"/>
        <c:txPr>
          <a:bodyPr/>
          <a:lstStyle/>
          <a:p>
            <a:pPr>
              <a:defRPr sz="800"/>
            </a:pPr>
            <a:endParaRPr lang="en-US"/>
          </a:p>
        </c:txPr>
        <c:crossAx val="158519296"/>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Ashford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20.916338236783478</c:v>
                </c:pt>
                <c:pt idx="1">
                  <c:v>21.351958196258252</c:v>
                </c:pt>
                <c:pt idx="2">
                  <c:v>21.536015166789198</c:v>
                </c:pt>
              </c:numCache>
            </c:numRef>
          </c:val>
        </c:ser>
        <c:marker val="1"/>
        <c:axId val="158584832"/>
        <c:axId val="158586368"/>
      </c:lineChart>
      <c:catAx>
        <c:axId val="158584832"/>
        <c:scaling>
          <c:orientation val="minMax"/>
        </c:scaling>
        <c:axPos val="b"/>
        <c:numFmt formatCode="General" sourceLinked="1"/>
        <c:tickLblPos val="nextTo"/>
        <c:crossAx val="158586368"/>
        <c:crosses val="autoZero"/>
        <c:auto val="1"/>
        <c:lblAlgn val="ctr"/>
        <c:lblOffset val="100"/>
      </c:catAx>
      <c:valAx>
        <c:axId val="1585863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584832"/>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Ashford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2.2071246819338426</c:v>
                </c:pt>
                <c:pt idx="1">
                  <c:v>2.3073476702509002</c:v>
                </c:pt>
                <c:pt idx="2">
                  <c:v>2.2864823348694272</c:v>
                </c:pt>
              </c:numCache>
            </c:numRef>
          </c:val>
        </c:ser>
        <c:axId val="158695424"/>
        <c:axId val="158696960"/>
      </c:barChart>
      <c:catAx>
        <c:axId val="158695424"/>
        <c:scaling>
          <c:orientation val="minMax"/>
        </c:scaling>
        <c:axPos val="b"/>
        <c:numFmt formatCode="General" sourceLinked="1"/>
        <c:tickLblPos val="nextTo"/>
        <c:crossAx val="158696960"/>
        <c:crosses val="autoZero"/>
        <c:auto val="1"/>
        <c:lblAlgn val="ctr"/>
        <c:lblOffset val="100"/>
      </c:catAx>
      <c:valAx>
        <c:axId val="158696960"/>
        <c:scaling>
          <c:orientation val="minMax"/>
        </c:scaling>
        <c:axPos val="l"/>
        <c:majorGridlines/>
        <c:numFmt formatCode="General" sourceLinked="1"/>
        <c:tickLblPos val="nextTo"/>
        <c:txPr>
          <a:bodyPr/>
          <a:lstStyle/>
          <a:p>
            <a:pPr>
              <a:defRPr sz="800"/>
            </a:pPr>
            <a:endParaRPr lang="en-US"/>
          </a:p>
        </c:txPr>
        <c:crossAx val="158695424"/>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Ashford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17.730276858112287</c:v>
                </c:pt>
                <c:pt idx="1">
                  <c:v>18.334255452716338</c:v>
                </c:pt>
                <c:pt idx="2">
                  <c:v>18.531342107507989</c:v>
                </c:pt>
              </c:numCache>
            </c:numRef>
          </c:val>
        </c:ser>
        <c:marker val="1"/>
        <c:axId val="158601216"/>
        <c:axId val="158602752"/>
      </c:lineChart>
      <c:catAx>
        <c:axId val="158601216"/>
        <c:scaling>
          <c:orientation val="minMax"/>
        </c:scaling>
        <c:axPos val="b"/>
        <c:numFmt formatCode="General" sourceLinked="1"/>
        <c:tickLblPos val="nextTo"/>
        <c:crossAx val="158602752"/>
        <c:crosses val="autoZero"/>
        <c:auto val="1"/>
        <c:lblAlgn val="ctr"/>
        <c:lblOffset val="100"/>
      </c:catAx>
      <c:valAx>
        <c:axId val="1586027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601216"/>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Ashford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3.389949109414756</c:v>
                </c:pt>
                <c:pt idx="1">
                  <c:v>3.3631592421915038</c:v>
                </c:pt>
                <c:pt idx="2">
                  <c:v>3.3494623655913998</c:v>
                </c:pt>
              </c:numCache>
            </c:numRef>
          </c:val>
        </c:ser>
        <c:axId val="158638464"/>
        <c:axId val="158640000"/>
      </c:barChart>
      <c:catAx>
        <c:axId val="158638464"/>
        <c:scaling>
          <c:orientation val="minMax"/>
        </c:scaling>
        <c:axPos val="b"/>
        <c:numFmt formatCode="General" sourceLinked="1"/>
        <c:tickLblPos val="nextTo"/>
        <c:crossAx val="158640000"/>
        <c:crosses val="autoZero"/>
        <c:auto val="1"/>
        <c:lblAlgn val="ctr"/>
        <c:lblOffset val="100"/>
      </c:catAx>
      <c:valAx>
        <c:axId val="158640000"/>
        <c:scaling>
          <c:orientation val="minMax"/>
        </c:scaling>
        <c:axPos val="l"/>
        <c:majorGridlines/>
        <c:numFmt formatCode="General" sourceLinked="1"/>
        <c:tickLblPos val="nextTo"/>
        <c:txPr>
          <a:bodyPr/>
          <a:lstStyle/>
          <a:p>
            <a:pPr>
              <a:defRPr sz="800"/>
            </a:pPr>
            <a:endParaRPr lang="en-US"/>
          </a:p>
        </c:txPr>
        <c:crossAx val="158638464"/>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Ashford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10.184400672938002</c:v>
                </c:pt>
                <c:pt idx="1">
                  <c:v>10.957768792990898</c:v>
                </c:pt>
                <c:pt idx="2">
                  <c:v>11.748429076415398</c:v>
                </c:pt>
              </c:numCache>
            </c:numRef>
          </c:val>
        </c:ser>
        <c:marker val="1"/>
        <c:axId val="157401088"/>
        <c:axId val="157402624"/>
      </c:lineChart>
      <c:catAx>
        <c:axId val="157401088"/>
        <c:scaling>
          <c:orientation val="minMax"/>
        </c:scaling>
        <c:axPos val="b"/>
        <c:numFmt formatCode="General" sourceLinked="1"/>
        <c:tickLblPos val="nextTo"/>
        <c:crossAx val="157402624"/>
        <c:crosses val="autoZero"/>
        <c:auto val="1"/>
        <c:lblAlgn val="ctr"/>
        <c:lblOffset val="100"/>
      </c:catAx>
      <c:valAx>
        <c:axId val="1574026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401088"/>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Ashford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11.168853955291898</c:v>
                </c:pt>
                <c:pt idx="1">
                  <c:v>11.274136498994</c:v>
                </c:pt>
                <c:pt idx="2">
                  <c:v>11.42506182964561</c:v>
                </c:pt>
              </c:numCache>
            </c:numRef>
          </c:val>
        </c:ser>
        <c:marker val="1"/>
        <c:axId val="158740864"/>
        <c:axId val="158742400"/>
      </c:lineChart>
      <c:catAx>
        <c:axId val="158740864"/>
        <c:scaling>
          <c:orientation val="minMax"/>
        </c:scaling>
        <c:axPos val="b"/>
        <c:numFmt formatCode="General" sourceLinked="1"/>
        <c:tickLblPos val="nextTo"/>
        <c:crossAx val="158742400"/>
        <c:crosses val="autoZero"/>
        <c:auto val="1"/>
        <c:lblAlgn val="ctr"/>
        <c:lblOffset val="100"/>
      </c:catAx>
      <c:valAx>
        <c:axId val="1587424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740864"/>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Ashford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9.2758269720101687</c:v>
                </c:pt>
                <c:pt idx="1">
                  <c:v>9.3271889400921619</c:v>
                </c:pt>
                <c:pt idx="2">
                  <c:v>9.3744239631336406</c:v>
                </c:pt>
              </c:numCache>
            </c:numRef>
          </c:val>
        </c:ser>
        <c:axId val="158798592"/>
        <c:axId val="158800128"/>
      </c:barChart>
      <c:catAx>
        <c:axId val="158798592"/>
        <c:scaling>
          <c:orientation val="minMax"/>
        </c:scaling>
        <c:axPos val="b"/>
        <c:numFmt formatCode="General" sourceLinked="1"/>
        <c:tickLblPos val="nextTo"/>
        <c:crossAx val="158800128"/>
        <c:crosses val="autoZero"/>
        <c:auto val="1"/>
        <c:lblAlgn val="ctr"/>
        <c:lblOffset val="100"/>
      </c:catAx>
      <c:valAx>
        <c:axId val="158800128"/>
        <c:scaling>
          <c:orientation val="minMax"/>
        </c:scaling>
        <c:axPos val="l"/>
        <c:majorGridlines/>
        <c:numFmt formatCode="General" sourceLinked="1"/>
        <c:tickLblPos val="nextTo"/>
        <c:txPr>
          <a:bodyPr/>
          <a:lstStyle/>
          <a:p>
            <a:pPr>
              <a:defRPr sz="800"/>
            </a:pPr>
            <a:endParaRPr lang="en-US"/>
          </a:p>
        </c:txPr>
        <c:crossAx val="158798592"/>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Ashford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20.916338236783481</c:v>
                </c:pt>
                <c:pt idx="1">
                  <c:v>21.35195817710413</c:v>
                </c:pt>
                <c:pt idx="2">
                  <c:v>25.289793474252981</c:v>
                </c:pt>
              </c:numCache>
            </c:numRef>
          </c:val>
        </c:ser>
        <c:marker val="1"/>
        <c:axId val="158839552"/>
        <c:axId val="158841088"/>
      </c:lineChart>
      <c:catAx>
        <c:axId val="158839552"/>
        <c:scaling>
          <c:orientation val="minMax"/>
        </c:scaling>
        <c:axPos val="b"/>
        <c:numFmt formatCode="General" sourceLinked="1"/>
        <c:tickLblPos val="nextTo"/>
        <c:crossAx val="158841088"/>
        <c:crosses val="autoZero"/>
        <c:auto val="1"/>
        <c:lblAlgn val="ctr"/>
        <c:lblOffset val="100"/>
      </c:catAx>
      <c:valAx>
        <c:axId val="1588410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839552"/>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Ashford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2.2561846256018598</c:v>
                </c:pt>
                <c:pt idx="1">
                  <c:v>2.3310788518640679</c:v>
                </c:pt>
                <c:pt idx="2">
                  <c:v>1.8952364515015501</c:v>
                </c:pt>
              </c:numCache>
            </c:numRef>
          </c:val>
        </c:ser>
        <c:axId val="158880896"/>
        <c:axId val="158882432"/>
      </c:barChart>
      <c:catAx>
        <c:axId val="158880896"/>
        <c:scaling>
          <c:orientation val="minMax"/>
        </c:scaling>
        <c:axPos val="b"/>
        <c:numFmt formatCode="General" sourceLinked="1"/>
        <c:tickLblPos val="nextTo"/>
        <c:crossAx val="158882432"/>
        <c:crosses val="autoZero"/>
        <c:auto val="1"/>
        <c:lblAlgn val="ctr"/>
        <c:lblOffset val="100"/>
      </c:catAx>
      <c:valAx>
        <c:axId val="158882432"/>
        <c:scaling>
          <c:orientation val="minMax"/>
        </c:scaling>
        <c:axPos val="l"/>
        <c:majorGridlines/>
        <c:numFmt formatCode="General" sourceLinked="1"/>
        <c:tickLblPos val="nextTo"/>
        <c:txPr>
          <a:bodyPr/>
          <a:lstStyle/>
          <a:p>
            <a:pPr>
              <a:defRPr sz="800"/>
            </a:pPr>
            <a:endParaRPr lang="en-US"/>
          </a:p>
        </c:txPr>
        <c:crossAx val="158880896"/>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Ashford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17.730276858112287</c:v>
                </c:pt>
                <c:pt idx="1">
                  <c:v>18.334255452716334</c:v>
                </c:pt>
                <c:pt idx="2">
                  <c:v>20.776992514098001</c:v>
                </c:pt>
              </c:numCache>
            </c:numRef>
          </c:val>
        </c:ser>
        <c:marker val="1"/>
        <c:axId val="158938240"/>
        <c:axId val="158939776"/>
      </c:lineChart>
      <c:catAx>
        <c:axId val="158938240"/>
        <c:scaling>
          <c:orientation val="minMax"/>
        </c:scaling>
        <c:axPos val="b"/>
        <c:numFmt formatCode="General" sourceLinked="1"/>
        <c:tickLblPos val="nextTo"/>
        <c:crossAx val="158939776"/>
        <c:crosses val="autoZero"/>
        <c:auto val="1"/>
        <c:lblAlgn val="ctr"/>
        <c:lblOffset val="100"/>
      </c:catAx>
      <c:valAx>
        <c:axId val="1589397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938240"/>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Ashford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3.45957164203885</c:v>
                </c:pt>
                <c:pt idx="1">
                  <c:v>3.4196634774001975</c:v>
                </c:pt>
                <c:pt idx="2">
                  <c:v>2.6863997238522601</c:v>
                </c:pt>
              </c:numCache>
            </c:numRef>
          </c:val>
        </c:ser>
        <c:axId val="158979584"/>
        <c:axId val="158981120"/>
      </c:barChart>
      <c:catAx>
        <c:axId val="158979584"/>
        <c:scaling>
          <c:orientation val="minMax"/>
        </c:scaling>
        <c:axPos val="b"/>
        <c:numFmt formatCode="General" sourceLinked="1"/>
        <c:tickLblPos val="nextTo"/>
        <c:crossAx val="158981120"/>
        <c:crosses val="autoZero"/>
        <c:auto val="1"/>
        <c:lblAlgn val="ctr"/>
        <c:lblOffset val="100"/>
      </c:catAx>
      <c:valAx>
        <c:axId val="158981120"/>
        <c:scaling>
          <c:orientation val="minMax"/>
        </c:scaling>
        <c:axPos val="l"/>
        <c:majorGridlines/>
        <c:numFmt formatCode="General" sourceLinked="1"/>
        <c:tickLblPos val="nextTo"/>
        <c:txPr>
          <a:bodyPr/>
          <a:lstStyle/>
          <a:p>
            <a:pPr>
              <a:defRPr sz="800"/>
            </a:pPr>
            <a:endParaRPr lang="en-US"/>
          </a:p>
        </c:txPr>
        <c:crossAx val="158979584"/>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Ashford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11.168853955291898</c:v>
                </c:pt>
                <c:pt idx="1">
                  <c:v>11.274136498994</c:v>
                </c:pt>
                <c:pt idx="2">
                  <c:v>12.8796780724055</c:v>
                </c:pt>
              </c:numCache>
            </c:numRef>
          </c:val>
        </c:ser>
        <c:marker val="1"/>
        <c:axId val="159024640"/>
        <c:axId val="159026176"/>
      </c:lineChart>
      <c:catAx>
        <c:axId val="159024640"/>
        <c:scaling>
          <c:orientation val="minMax"/>
        </c:scaling>
        <c:axPos val="b"/>
        <c:numFmt formatCode="General" sourceLinked="1"/>
        <c:tickLblPos val="nextTo"/>
        <c:crossAx val="159026176"/>
        <c:crosses val="autoZero"/>
        <c:auto val="1"/>
        <c:lblAlgn val="ctr"/>
        <c:lblOffset val="100"/>
      </c:catAx>
      <c:valAx>
        <c:axId val="15902617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024640"/>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Ashford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9.2757761912668126</c:v>
                </c:pt>
                <c:pt idx="1">
                  <c:v>9.157043879907631</c:v>
                </c:pt>
                <c:pt idx="2">
                  <c:v>8.3650327925440262</c:v>
                </c:pt>
              </c:numCache>
            </c:numRef>
          </c:val>
        </c:ser>
        <c:axId val="159140096"/>
        <c:axId val="159162368"/>
      </c:barChart>
      <c:catAx>
        <c:axId val="159140096"/>
        <c:scaling>
          <c:orientation val="minMax"/>
        </c:scaling>
        <c:axPos val="b"/>
        <c:numFmt formatCode="General" sourceLinked="1"/>
        <c:tickLblPos val="nextTo"/>
        <c:crossAx val="159162368"/>
        <c:crosses val="autoZero"/>
        <c:auto val="1"/>
        <c:lblAlgn val="ctr"/>
        <c:lblOffset val="100"/>
      </c:catAx>
      <c:valAx>
        <c:axId val="159162368"/>
        <c:scaling>
          <c:orientation val="minMax"/>
        </c:scaling>
        <c:axPos val="l"/>
        <c:majorGridlines/>
        <c:numFmt formatCode="General" sourceLinked="1"/>
        <c:tickLblPos val="nextTo"/>
        <c:txPr>
          <a:bodyPr/>
          <a:lstStyle/>
          <a:p>
            <a:pPr>
              <a:defRPr sz="800"/>
            </a:pPr>
            <a:endParaRPr lang="en-US"/>
          </a:p>
        </c:txPr>
        <c:crossAx val="159140096"/>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Ashford</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14.9273826960885</c:v>
                </c:pt>
                <c:pt idx="1">
                  <c:v>14.5547298054144</c:v>
                </c:pt>
              </c:numCache>
            </c:numRef>
          </c:val>
        </c:ser>
        <c:marker val="1"/>
        <c:axId val="159185152"/>
        <c:axId val="159064064"/>
      </c:lineChart>
      <c:catAx>
        <c:axId val="159185152"/>
        <c:scaling>
          <c:orientation val="minMax"/>
        </c:scaling>
        <c:axPos val="b"/>
        <c:numFmt formatCode="General" sourceLinked="1"/>
        <c:tickLblPos val="nextTo"/>
        <c:crossAx val="159064064"/>
        <c:crosses val="autoZero"/>
        <c:auto val="1"/>
        <c:lblAlgn val="ctr"/>
        <c:lblOffset val="100"/>
      </c:catAx>
      <c:valAx>
        <c:axId val="1590640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185152"/>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Ashford</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4.9693198796536997</c:v>
                </c:pt>
                <c:pt idx="1">
                  <c:v>5.4758823529411824</c:v>
                </c:pt>
              </c:numCache>
            </c:numRef>
          </c:val>
        </c:ser>
        <c:axId val="159095424"/>
        <c:axId val="159105408"/>
      </c:barChart>
      <c:catAx>
        <c:axId val="159095424"/>
        <c:scaling>
          <c:orientation val="minMax"/>
        </c:scaling>
        <c:axPos val="b"/>
        <c:numFmt formatCode="General" sourceLinked="1"/>
        <c:tickLblPos val="nextTo"/>
        <c:crossAx val="159105408"/>
        <c:crosses val="autoZero"/>
        <c:auto val="1"/>
        <c:lblAlgn val="ctr"/>
        <c:lblOffset val="100"/>
      </c:catAx>
      <c:valAx>
        <c:axId val="159105408"/>
        <c:scaling>
          <c:orientation val="minMax"/>
        </c:scaling>
        <c:axPos val="l"/>
        <c:majorGridlines/>
        <c:numFmt formatCode="General" sourceLinked="1"/>
        <c:tickLblPos val="nextTo"/>
        <c:txPr>
          <a:bodyPr/>
          <a:lstStyle/>
          <a:p>
            <a:pPr>
              <a:defRPr sz="800"/>
            </a:pPr>
            <a:endParaRPr lang="en-US"/>
          </a:p>
        </c:txPr>
        <c:crossAx val="159095424"/>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Ashford</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8.0212879245153488</c:v>
                </c:pt>
                <c:pt idx="1">
                  <c:v>7.9547995833698293</c:v>
                </c:pt>
                <c:pt idx="2">
                  <c:v>8.4724296844720506</c:v>
                </c:pt>
              </c:numCache>
            </c:numRef>
          </c:val>
        </c:ser>
        <c:marker val="1"/>
        <c:axId val="128291200"/>
        <c:axId val="128292736"/>
      </c:lineChart>
      <c:catAx>
        <c:axId val="128291200"/>
        <c:scaling>
          <c:orientation val="minMax"/>
        </c:scaling>
        <c:axPos val="b"/>
        <c:numFmt formatCode="General" sourceLinked="1"/>
        <c:tickLblPos val="nextTo"/>
        <c:crossAx val="128292736"/>
        <c:crosses val="autoZero"/>
        <c:auto val="1"/>
        <c:lblAlgn val="ctr"/>
        <c:lblOffset val="100"/>
      </c:catAx>
      <c:valAx>
        <c:axId val="128292736"/>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8291200"/>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Ashford</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11.996812434790501</c:v>
                </c:pt>
                <c:pt idx="1">
                  <c:v>12.614338028169</c:v>
                </c:pt>
              </c:numCache>
            </c:numRef>
          </c:val>
        </c:ser>
        <c:marker val="1"/>
        <c:axId val="159267456"/>
        <c:axId val="159273344"/>
      </c:lineChart>
      <c:catAx>
        <c:axId val="159267456"/>
        <c:scaling>
          <c:orientation val="minMax"/>
        </c:scaling>
        <c:axPos val="b"/>
        <c:numFmt formatCode="General" sourceLinked="1"/>
        <c:tickLblPos val="nextTo"/>
        <c:crossAx val="159273344"/>
        <c:crosses val="autoZero"/>
        <c:auto val="1"/>
        <c:lblAlgn val="ctr"/>
        <c:lblOffset val="100"/>
      </c:catAx>
      <c:valAx>
        <c:axId val="1592733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267456"/>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Ashford</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6.7989520866165885</c:v>
                </c:pt>
                <c:pt idx="1">
                  <c:v>6.9533921568627504</c:v>
                </c:pt>
              </c:numCache>
            </c:numRef>
          </c:val>
        </c:ser>
        <c:axId val="159312896"/>
        <c:axId val="159200000"/>
      </c:barChart>
      <c:catAx>
        <c:axId val="159312896"/>
        <c:scaling>
          <c:orientation val="minMax"/>
        </c:scaling>
        <c:axPos val="b"/>
        <c:numFmt formatCode="General" sourceLinked="1"/>
        <c:tickLblPos val="nextTo"/>
        <c:crossAx val="159200000"/>
        <c:crosses val="autoZero"/>
        <c:auto val="1"/>
        <c:lblAlgn val="ctr"/>
        <c:lblOffset val="100"/>
      </c:catAx>
      <c:valAx>
        <c:axId val="159200000"/>
        <c:scaling>
          <c:orientation val="minMax"/>
        </c:scaling>
        <c:axPos val="l"/>
        <c:majorGridlines/>
        <c:numFmt formatCode="General" sourceLinked="1"/>
        <c:tickLblPos val="nextTo"/>
        <c:txPr>
          <a:bodyPr/>
          <a:lstStyle/>
          <a:p>
            <a:pPr>
              <a:defRPr sz="800"/>
            </a:pPr>
            <a:endParaRPr lang="en-US"/>
          </a:p>
        </c:txPr>
        <c:crossAx val="159312896"/>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Ashford</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8.74837015025021</c:v>
                </c:pt>
                <c:pt idx="1">
                  <c:v>8.5366556941649989</c:v>
                </c:pt>
              </c:numCache>
            </c:numRef>
          </c:val>
        </c:ser>
        <c:marker val="1"/>
        <c:axId val="159230976"/>
        <c:axId val="159236864"/>
      </c:lineChart>
      <c:catAx>
        <c:axId val="159230976"/>
        <c:scaling>
          <c:orientation val="minMax"/>
        </c:scaling>
        <c:axPos val="b"/>
        <c:numFmt formatCode="General" sourceLinked="1"/>
        <c:tickLblPos val="nextTo"/>
        <c:crossAx val="159236864"/>
        <c:crosses val="autoZero"/>
        <c:auto val="1"/>
        <c:lblAlgn val="ctr"/>
        <c:lblOffset val="100"/>
      </c:catAx>
      <c:valAx>
        <c:axId val="15923686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230976"/>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Ashford</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59341952"/>
        <c:axId val="159347840"/>
      </c:barChart>
      <c:catAx>
        <c:axId val="159341952"/>
        <c:scaling>
          <c:orientation val="minMax"/>
        </c:scaling>
        <c:axPos val="b"/>
        <c:numFmt formatCode="General" sourceLinked="1"/>
        <c:tickLblPos val="nextTo"/>
        <c:crossAx val="159347840"/>
        <c:crosses val="autoZero"/>
        <c:auto val="1"/>
        <c:lblAlgn val="ctr"/>
        <c:lblOffset val="100"/>
      </c:catAx>
      <c:valAx>
        <c:axId val="159347840"/>
        <c:scaling>
          <c:orientation val="minMax"/>
        </c:scaling>
        <c:axPos val="l"/>
        <c:majorGridlines/>
        <c:numFmt formatCode="General" sourceLinked="1"/>
        <c:tickLblPos val="nextTo"/>
        <c:txPr>
          <a:bodyPr/>
          <a:lstStyle/>
          <a:p>
            <a:pPr>
              <a:defRPr sz="800"/>
            </a:pPr>
            <a:endParaRPr lang="en-US"/>
          </a:p>
        </c:txPr>
        <c:crossAx val="159341952"/>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Ashford</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42.095062226859355</c:v>
                </c:pt>
                <c:pt idx="1">
                  <c:v>41.782884941449396</c:v>
                </c:pt>
              </c:numCache>
            </c:numRef>
          </c:val>
        </c:ser>
        <c:marker val="1"/>
        <c:axId val="159391744"/>
        <c:axId val="159393280"/>
      </c:lineChart>
      <c:catAx>
        <c:axId val="159391744"/>
        <c:scaling>
          <c:orientation val="minMax"/>
        </c:scaling>
        <c:axPos val="b"/>
        <c:numFmt formatCode="General" sourceLinked="1"/>
        <c:tickLblPos val="nextTo"/>
        <c:crossAx val="159393280"/>
        <c:crosses val="autoZero"/>
        <c:auto val="1"/>
        <c:lblAlgn val="ctr"/>
        <c:lblOffset val="100"/>
      </c:catAx>
      <c:valAx>
        <c:axId val="15939328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391744"/>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Ashford</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0.32057553367854441</c:v>
                </c:pt>
                <c:pt idx="1">
                  <c:v>0.32039215686274547</c:v>
                </c:pt>
              </c:numCache>
            </c:numRef>
          </c:val>
        </c:ser>
        <c:axId val="159437184"/>
        <c:axId val="159438720"/>
      </c:barChart>
      <c:catAx>
        <c:axId val="159437184"/>
        <c:scaling>
          <c:orientation val="minMax"/>
        </c:scaling>
        <c:axPos val="b"/>
        <c:numFmt formatCode="General" sourceLinked="1"/>
        <c:tickLblPos val="nextTo"/>
        <c:crossAx val="159438720"/>
        <c:crosses val="autoZero"/>
        <c:auto val="1"/>
        <c:lblAlgn val="ctr"/>
        <c:lblOffset val="100"/>
      </c:catAx>
      <c:valAx>
        <c:axId val="159438720"/>
        <c:scaling>
          <c:orientation val="minMax"/>
        </c:scaling>
        <c:axPos val="l"/>
        <c:majorGridlines/>
        <c:numFmt formatCode="General" sourceLinked="1"/>
        <c:tickLblPos val="nextTo"/>
        <c:txPr>
          <a:bodyPr/>
          <a:lstStyle/>
          <a:p>
            <a:pPr>
              <a:defRPr sz="800"/>
            </a:pPr>
            <a:endParaRPr lang="en-US"/>
          </a:p>
        </c:txPr>
        <c:crossAx val="159437184"/>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Ashford</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34.964279552754995</c:v>
                </c:pt>
                <c:pt idx="1">
                  <c:v>39.0847013279678</c:v>
                </c:pt>
              </c:numCache>
            </c:numRef>
          </c:val>
        </c:ser>
        <c:marker val="1"/>
        <c:axId val="159527296"/>
        <c:axId val="159528832"/>
      </c:lineChart>
      <c:catAx>
        <c:axId val="159527296"/>
        <c:scaling>
          <c:orientation val="minMax"/>
        </c:scaling>
        <c:axPos val="b"/>
        <c:numFmt formatCode="General" sourceLinked="1"/>
        <c:tickLblPos val="nextTo"/>
        <c:crossAx val="159528832"/>
        <c:crosses val="autoZero"/>
        <c:auto val="1"/>
        <c:lblAlgn val="ctr"/>
        <c:lblOffset val="100"/>
      </c:catAx>
      <c:valAx>
        <c:axId val="1595288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527296"/>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Ashford</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0.52407949405432053</c:v>
                </c:pt>
                <c:pt idx="1">
                  <c:v>0.48688235294117627</c:v>
                </c:pt>
              </c:numCache>
            </c:numRef>
          </c:val>
        </c:ser>
        <c:axId val="159580928"/>
        <c:axId val="159582464"/>
      </c:barChart>
      <c:catAx>
        <c:axId val="159580928"/>
        <c:scaling>
          <c:orientation val="minMax"/>
        </c:scaling>
        <c:axPos val="b"/>
        <c:numFmt formatCode="General" sourceLinked="1"/>
        <c:tickLblPos val="nextTo"/>
        <c:crossAx val="159582464"/>
        <c:crosses val="autoZero"/>
        <c:auto val="1"/>
        <c:lblAlgn val="ctr"/>
        <c:lblOffset val="100"/>
      </c:catAx>
      <c:valAx>
        <c:axId val="159582464"/>
        <c:scaling>
          <c:orientation val="minMax"/>
        </c:scaling>
        <c:axPos val="l"/>
        <c:majorGridlines/>
        <c:numFmt formatCode="General" sourceLinked="1"/>
        <c:tickLblPos val="nextTo"/>
        <c:txPr>
          <a:bodyPr/>
          <a:lstStyle/>
          <a:p>
            <a:pPr>
              <a:defRPr sz="800"/>
            </a:pPr>
            <a:endParaRPr lang="en-US"/>
          </a:p>
        </c:txPr>
        <c:crossAx val="159580928"/>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Ashford</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17.210173919472901</c:v>
                </c:pt>
                <c:pt idx="1">
                  <c:v>18.086796539235362</c:v>
                </c:pt>
              </c:numCache>
            </c:numRef>
          </c:val>
        </c:ser>
        <c:marker val="1"/>
        <c:axId val="159630080"/>
        <c:axId val="159631616"/>
      </c:lineChart>
      <c:catAx>
        <c:axId val="159630080"/>
        <c:scaling>
          <c:orientation val="minMax"/>
        </c:scaling>
        <c:axPos val="b"/>
        <c:numFmt formatCode="General" sourceLinked="1"/>
        <c:tickLblPos val="nextTo"/>
        <c:crossAx val="159631616"/>
        <c:crosses val="autoZero"/>
        <c:auto val="1"/>
        <c:lblAlgn val="ctr"/>
        <c:lblOffset val="100"/>
      </c:catAx>
      <c:valAx>
        <c:axId val="1596316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630080"/>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Ashford</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1.53893857835813</c:v>
                </c:pt>
                <c:pt idx="1">
                  <c:v>1.2387450980392198</c:v>
                </c:pt>
              </c:numCache>
            </c:numRef>
          </c:val>
        </c:ser>
        <c:axId val="159687808"/>
        <c:axId val="159689344"/>
      </c:barChart>
      <c:catAx>
        <c:axId val="159687808"/>
        <c:scaling>
          <c:orientation val="minMax"/>
        </c:scaling>
        <c:axPos val="b"/>
        <c:numFmt formatCode="General" sourceLinked="1"/>
        <c:tickLblPos val="nextTo"/>
        <c:crossAx val="159689344"/>
        <c:crosses val="autoZero"/>
        <c:auto val="1"/>
        <c:lblAlgn val="ctr"/>
        <c:lblOffset val="100"/>
      </c:catAx>
      <c:valAx>
        <c:axId val="159689344"/>
        <c:scaling>
          <c:orientation val="minMax"/>
        </c:scaling>
        <c:axPos val="l"/>
        <c:majorGridlines/>
        <c:numFmt formatCode="General" sourceLinked="1"/>
        <c:tickLblPos val="nextTo"/>
        <c:txPr>
          <a:bodyPr/>
          <a:lstStyle/>
          <a:p>
            <a:pPr>
              <a:defRPr sz="800"/>
            </a:pPr>
            <a:endParaRPr lang="en-US"/>
          </a:p>
        </c:txPr>
        <c:crossAx val="159687808"/>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Ashford</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18.0206214128558</c:v>
                </c:pt>
                <c:pt idx="1">
                  <c:v>17.439624487719687</c:v>
                </c:pt>
                <c:pt idx="2">
                  <c:v>18.152163794315605</c:v>
                </c:pt>
              </c:numCache>
            </c:numRef>
          </c:val>
        </c:ser>
        <c:marker val="1"/>
        <c:axId val="158028544"/>
        <c:axId val="158030080"/>
      </c:lineChart>
      <c:catAx>
        <c:axId val="158028544"/>
        <c:scaling>
          <c:orientation val="minMax"/>
        </c:scaling>
        <c:axPos val="b"/>
        <c:numFmt formatCode="General" sourceLinked="1"/>
        <c:tickLblPos val="nextTo"/>
        <c:crossAx val="158030080"/>
        <c:crosses val="autoZero"/>
        <c:auto val="1"/>
        <c:lblAlgn val="ctr"/>
        <c:lblOffset val="100"/>
      </c:catAx>
      <c:valAx>
        <c:axId val="158030080"/>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028544"/>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Ashford</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14.2152291197709</c:v>
                </c:pt>
              </c:numCache>
            </c:numRef>
          </c:val>
        </c:ser>
        <c:axId val="159728768"/>
        <c:axId val="159730304"/>
      </c:barChart>
      <c:catAx>
        <c:axId val="159728768"/>
        <c:scaling>
          <c:orientation val="minMax"/>
        </c:scaling>
        <c:axPos val="b"/>
        <c:numFmt formatCode="General" sourceLinked="1"/>
        <c:tickLblPos val="nextTo"/>
        <c:crossAx val="159730304"/>
        <c:crosses val="autoZero"/>
        <c:auto val="1"/>
        <c:lblAlgn val="ctr"/>
        <c:lblOffset val="100"/>
      </c:catAx>
      <c:valAx>
        <c:axId val="1597303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72876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Ashford</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6.7985490196078402</c:v>
                </c:pt>
              </c:numCache>
            </c:numRef>
          </c:val>
        </c:ser>
        <c:axId val="159769728"/>
        <c:axId val="159771264"/>
      </c:barChart>
      <c:catAx>
        <c:axId val="159769728"/>
        <c:scaling>
          <c:orientation val="minMax"/>
        </c:scaling>
        <c:axPos val="b"/>
        <c:numFmt formatCode="General" sourceLinked="1"/>
        <c:tickLblPos val="nextTo"/>
        <c:crossAx val="159771264"/>
        <c:crosses val="autoZero"/>
        <c:auto val="1"/>
        <c:lblAlgn val="ctr"/>
        <c:lblOffset val="100"/>
      </c:catAx>
      <c:valAx>
        <c:axId val="159771264"/>
        <c:scaling>
          <c:orientation val="minMax"/>
        </c:scaling>
        <c:axPos val="l"/>
        <c:majorGridlines/>
        <c:numFmt formatCode="General" sourceLinked="1"/>
        <c:tickLblPos val="nextTo"/>
        <c:txPr>
          <a:bodyPr/>
          <a:lstStyle/>
          <a:p>
            <a:pPr>
              <a:defRPr sz="800"/>
            </a:pPr>
            <a:endParaRPr lang="en-US"/>
          </a:p>
        </c:txPr>
        <c:crossAx val="15976972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Ashford</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9.1419330202912974</c:v>
                </c:pt>
              </c:numCache>
            </c:numRef>
          </c:val>
        </c:ser>
        <c:axId val="159814400"/>
        <c:axId val="159815936"/>
      </c:barChart>
      <c:catAx>
        <c:axId val="159814400"/>
        <c:scaling>
          <c:orientation val="minMax"/>
        </c:scaling>
        <c:axPos val="b"/>
        <c:numFmt formatCode="General" sourceLinked="1"/>
        <c:tickLblPos val="nextTo"/>
        <c:crossAx val="159815936"/>
        <c:crosses val="autoZero"/>
        <c:auto val="1"/>
        <c:lblAlgn val="ctr"/>
        <c:lblOffset val="100"/>
      </c:catAx>
      <c:valAx>
        <c:axId val="1598159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81440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Ashford</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9.9620000000000068</c:v>
                </c:pt>
              </c:numCache>
            </c:numRef>
          </c:val>
        </c:ser>
        <c:axId val="159868032"/>
        <c:axId val="159869568"/>
      </c:barChart>
      <c:catAx>
        <c:axId val="159868032"/>
        <c:scaling>
          <c:orientation val="minMax"/>
        </c:scaling>
        <c:axPos val="b"/>
        <c:numFmt formatCode="General" sourceLinked="1"/>
        <c:tickLblPos val="nextTo"/>
        <c:crossAx val="159869568"/>
        <c:crosses val="autoZero"/>
        <c:auto val="1"/>
        <c:lblAlgn val="ctr"/>
        <c:lblOffset val="100"/>
      </c:catAx>
      <c:valAx>
        <c:axId val="159869568"/>
        <c:scaling>
          <c:orientation val="minMax"/>
        </c:scaling>
        <c:axPos val="l"/>
        <c:majorGridlines/>
        <c:numFmt formatCode="General" sourceLinked="1"/>
        <c:tickLblPos val="nextTo"/>
        <c:txPr>
          <a:bodyPr/>
          <a:lstStyle/>
          <a:p>
            <a:pPr>
              <a:defRPr sz="800"/>
            </a:pPr>
            <a:endParaRPr lang="en-US"/>
          </a:p>
        </c:txPr>
        <c:crossAx val="15986803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Ashford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11.765026875906612</c:v>
                </c:pt>
                <c:pt idx="1">
                  <c:v>12.007502030713907</c:v>
                </c:pt>
                <c:pt idx="2">
                  <c:v>12.580663993440202</c:v>
                </c:pt>
              </c:numCache>
            </c:numRef>
          </c:val>
        </c:ser>
        <c:marker val="1"/>
        <c:axId val="159888512"/>
        <c:axId val="159890048"/>
      </c:lineChart>
      <c:catAx>
        <c:axId val="159888512"/>
        <c:scaling>
          <c:orientation val="minMax"/>
        </c:scaling>
        <c:axPos val="b"/>
        <c:numFmt formatCode="General" sourceLinked="1"/>
        <c:tickLblPos val="nextTo"/>
        <c:crossAx val="159890048"/>
        <c:crosses val="autoZero"/>
        <c:auto val="1"/>
        <c:lblAlgn val="ctr"/>
        <c:lblOffset val="100"/>
      </c:catAx>
      <c:valAx>
        <c:axId val="1598900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9888512"/>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Ashford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7.9070795554554865</c:v>
                </c:pt>
                <c:pt idx="1">
                  <c:v>7.86052941176471</c:v>
                </c:pt>
                <c:pt idx="2">
                  <c:v>7.9863070000000036</c:v>
                </c:pt>
              </c:numCache>
            </c:numRef>
          </c:val>
        </c:ser>
        <c:axId val="160011776"/>
        <c:axId val="160013312"/>
      </c:barChart>
      <c:catAx>
        <c:axId val="160011776"/>
        <c:scaling>
          <c:orientation val="minMax"/>
        </c:scaling>
        <c:axPos val="b"/>
        <c:numFmt formatCode="General" sourceLinked="1"/>
        <c:tickLblPos val="nextTo"/>
        <c:crossAx val="160013312"/>
        <c:crosses val="autoZero"/>
        <c:auto val="1"/>
        <c:lblAlgn val="ctr"/>
        <c:lblOffset val="100"/>
      </c:catAx>
      <c:valAx>
        <c:axId val="160013312"/>
        <c:scaling>
          <c:orientation val="minMax"/>
        </c:scaling>
        <c:axPos val="l"/>
        <c:majorGridlines/>
        <c:numFmt formatCode="General" sourceLinked="1"/>
        <c:tickLblPos val="nextTo"/>
        <c:crossAx val="160011776"/>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Ashford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11.086724941054699</c:v>
                </c:pt>
                <c:pt idx="1">
                  <c:v>11.764295533199199</c:v>
                </c:pt>
                <c:pt idx="2">
                  <c:v>11.816026896463312</c:v>
                </c:pt>
              </c:numCache>
            </c:numRef>
          </c:val>
        </c:ser>
        <c:marker val="1"/>
        <c:axId val="160060928"/>
        <c:axId val="160062464"/>
      </c:lineChart>
      <c:catAx>
        <c:axId val="160060928"/>
        <c:scaling>
          <c:orientation val="minMax"/>
        </c:scaling>
        <c:axPos val="b"/>
        <c:numFmt formatCode="General" sourceLinked="1"/>
        <c:tickLblPos val="nextTo"/>
        <c:crossAx val="160062464"/>
        <c:crosses val="autoZero"/>
        <c:auto val="1"/>
        <c:lblAlgn val="ctr"/>
        <c:lblOffset val="100"/>
      </c:catAx>
      <c:valAx>
        <c:axId val="1600624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0060928"/>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Ashford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7.5051474651548338</c:v>
                </c:pt>
                <c:pt idx="1">
                  <c:v>7.6454313725490168</c:v>
                </c:pt>
                <c:pt idx="2">
                  <c:v>7.6329249999999957</c:v>
                </c:pt>
              </c:numCache>
            </c:numRef>
          </c:val>
        </c:ser>
        <c:axId val="160110464"/>
        <c:axId val="160112000"/>
      </c:barChart>
      <c:catAx>
        <c:axId val="160110464"/>
        <c:scaling>
          <c:orientation val="minMax"/>
        </c:scaling>
        <c:axPos val="b"/>
        <c:numFmt formatCode="General" sourceLinked="1"/>
        <c:tickLblPos val="nextTo"/>
        <c:crossAx val="160112000"/>
        <c:crosses val="autoZero"/>
        <c:auto val="1"/>
        <c:lblAlgn val="ctr"/>
        <c:lblOffset val="100"/>
      </c:catAx>
      <c:valAx>
        <c:axId val="160112000"/>
        <c:scaling>
          <c:orientation val="minMax"/>
        </c:scaling>
        <c:axPos val="l"/>
        <c:majorGridlines/>
        <c:numFmt formatCode="General" sourceLinked="1"/>
        <c:tickLblPos val="nextTo"/>
        <c:crossAx val="160110464"/>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Ashford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8.0791077282025494</c:v>
                </c:pt>
                <c:pt idx="1">
                  <c:v>8.1467997585513103</c:v>
                </c:pt>
                <c:pt idx="2">
                  <c:v>8.0378481313179684</c:v>
                </c:pt>
              </c:numCache>
            </c:numRef>
          </c:val>
        </c:ser>
        <c:marker val="1"/>
        <c:axId val="160139136"/>
        <c:axId val="160140672"/>
      </c:lineChart>
      <c:catAx>
        <c:axId val="160139136"/>
        <c:scaling>
          <c:orientation val="minMax"/>
        </c:scaling>
        <c:axPos val="b"/>
        <c:numFmt formatCode="General" sourceLinked="1"/>
        <c:tickLblPos val="nextTo"/>
        <c:crossAx val="160140672"/>
        <c:crosses val="autoZero"/>
        <c:auto val="1"/>
        <c:lblAlgn val="ctr"/>
        <c:lblOffset val="100"/>
      </c:catAx>
      <c:valAx>
        <c:axId val="16014067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0139136"/>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Ashford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9.782803577641797</c:v>
                </c:pt>
                <c:pt idx="1">
                  <c:v>10</c:v>
                </c:pt>
                <c:pt idx="2">
                  <c:v>10</c:v>
                </c:pt>
              </c:numCache>
            </c:numRef>
          </c:val>
        </c:ser>
        <c:axId val="160258304"/>
        <c:axId val="160276480"/>
      </c:barChart>
      <c:catAx>
        <c:axId val="160258304"/>
        <c:scaling>
          <c:orientation val="minMax"/>
        </c:scaling>
        <c:axPos val="b"/>
        <c:numFmt formatCode="General" sourceLinked="1"/>
        <c:tickLblPos val="nextTo"/>
        <c:crossAx val="160276480"/>
        <c:crosses val="autoZero"/>
        <c:auto val="1"/>
        <c:lblAlgn val="ctr"/>
        <c:lblOffset val="100"/>
      </c:catAx>
      <c:valAx>
        <c:axId val="160276480"/>
        <c:scaling>
          <c:orientation val="minMax"/>
        </c:scaling>
        <c:axPos val="l"/>
        <c:majorGridlines/>
        <c:numFmt formatCode="General" sourceLinked="1"/>
        <c:tickLblPos val="nextTo"/>
        <c:crossAx val="160258304"/>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Ashford</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14.9363975773148</c:v>
                </c:pt>
                <c:pt idx="1">
                  <c:v>15.0422512676056</c:v>
                </c:pt>
                <c:pt idx="2">
                  <c:v>15.162296208491014</c:v>
                </c:pt>
              </c:numCache>
            </c:numRef>
          </c:val>
        </c:ser>
        <c:marker val="1"/>
        <c:axId val="158069888"/>
        <c:axId val="158071424"/>
      </c:lineChart>
      <c:catAx>
        <c:axId val="158069888"/>
        <c:scaling>
          <c:orientation val="minMax"/>
        </c:scaling>
        <c:axPos val="b"/>
        <c:numFmt formatCode="General" sourceLinked="1"/>
        <c:tickLblPos val="nextTo"/>
        <c:crossAx val="158071424"/>
        <c:crosses val="autoZero"/>
        <c:auto val="1"/>
        <c:lblAlgn val="ctr"/>
        <c:lblOffset val="100"/>
      </c:catAx>
      <c:valAx>
        <c:axId val="158071424"/>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069888"/>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Ashford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25.624100297002201</c:v>
                </c:pt>
                <c:pt idx="1">
                  <c:v>26.395194730850498</c:v>
                </c:pt>
                <c:pt idx="2">
                  <c:v>26.528511108035786</c:v>
                </c:pt>
              </c:numCache>
            </c:numRef>
          </c:val>
        </c:ser>
        <c:marker val="1"/>
        <c:axId val="160172288"/>
        <c:axId val="160178176"/>
      </c:lineChart>
      <c:catAx>
        <c:axId val="160172288"/>
        <c:scaling>
          <c:orientation val="minMax"/>
        </c:scaling>
        <c:axPos val="b"/>
        <c:numFmt formatCode="General" sourceLinked="1"/>
        <c:tickLblPos val="nextTo"/>
        <c:crossAx val="160178176"/>
        <c:crosses val="autoZero"/>
        <c:auto val="1"/>
        <c:lblAlgn val="ctr"/>
        <c:lblOffset val="100"/>
      </c:catAx>
      <c:valAx>
        <c:axId val="1601781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172288"/>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Ashford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0.85871589676415871</c:v>
                </c:pt>
                <c:pt idx="1">
                  <c:v>0.85441176470588198</c:v>
                </c:pt>
                <c:pt idx="2">
                  <c:v>1.0696599999999998</c:v>
                </c:pt>
              </c:numCache>
            </c:numRef>
          </c:val>
        </c:ser>
        <c:axId val="160230016"/>
        <c:axId val="160235904"/>
      </c:barChart>
      <c:catAx>
        <c:axId val="160230016"/>
        <c:scaling>
          <c:orientation val="minMax"/>
        </c:scaling>
        <c:axPos val="b"/>
        <c:numFmt formatCode="General" sourceLinked="1"/>
        <c:tickLblPos val="nextTo"/>
        <c:crossAx val="160235904"/>
        <c:crosses val="autoZero"/>
        <c:auto val="1"/>
        <c:lblAlgn val="ctr"/>
        <c:lblOffset val="100"/>
      </c:catAx>
      <c:valAx>
        <c:axId val="160235904"/>
        <c:scaling>
          <c:orientation val="minMax"/>
        </c:scaling>
        <c:axPos val="l"/>
        <c:majorGridlines/>
        <c:numFmt formatCode="General" sourceLinked="1"/>
        <c:tickLblPos val="nextTo"/>
        <c:txPr>
          <a:bodyPr/>
          <a:lstStyle/>
          <a:p>
            <a:pPr>
              <a:defRPr sz="800"/>
            </a:pPr>
            <a:endParaRPr lang="en-US"/>
          </a:p>
        </c:txPr>
        <c:crossAx val="160230016"/>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Ashford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22.359714351437287</c:v>
                </c:pt>
                <c:pt idx="1">
                  <c:v>22.88973183098587</c:v>
                </c:pt>
                <c:pt idx="2">
                  <c:v>22.969753321158286</c:v>
                </c:pt>
              </c:numCache>
            </c:numRef>
          </c:val>
        </c:ser>
        <c:marker val="1"/>
        <c:axId val="160320128"/>
        <c:axId val="160338304"/>
      </c:lineChart>
      <c:catAx>
        <c:axId val="160320128"/>
        <c:scaling>
          <c:orientation val="minMax"/>
        </c:scaling>
        <c:axPos val="b"/>
        <c:numFmt formatCode="General" sourceLinked="1"/>
        <c:tickLblPos val="nextTo"/>
        <c:crossAx val="160338304"/>
        <c:crosses val="autoZero"/>
        <c:auto val="1"/>
        <c:lblAlgn val="ctr"/>
        <c:lblOffset val="100"/>
      </c:catAx>
      <c:valAx>
        <c:axId val="1603383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320128"/>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Ashford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0.74882826091405941</c:v>
                </c:pt>
                <c:pt idx="1">
                  <c:v>0.74868627450980474</c:v>
                </c:pt>
                <c:pt idx="2">
                  <c:v>0.74286900000000045</c:v>
                </c:pt>
              </c:numCache>
            </c:numRef>
          </c:val>
        </c:ser>
        <c:axId val="160365568"/>
        <c:axId val="160371456"/>
      </c:barChart>
      <c:catAx>
        <c:axId val="160365568"/>
        <c:scaling>
          <c:orientation val="minMax"/>
        </c:scaling>
        <c:axPos val="b"/>
        <c:numFmt formatCode="General" sourceLinked="1"/>
        <c:tickLblPos val="nextTo"/>
        <c:crossAx val="160371456"/>
        <c:crosses val="autoZero"/>
        <c:auto val="1"/>
        <c:lblAlgn val="ctr"/>
        <c:lblOffset val="100"/>
      </c:catAx>
      <c:valAx>
        <c:axId val="160371456"/>
        <c:scaling>
          <c:orientation val="minMax"/>
        </c:scaling>
        <c:axPos val="l"/>
        <c:majorGridlines/>
        <c:numFmt formatCode="General" sourceLinked="1"/>
        <c:tickLblPos val="nextTo"/>
        <c:txPr>
          <a:bodyPr/>
          <a:lstStyle/>
          <a:p>
            <a:pPr>
              <a:defRPr sz="800"/>
            </a:pPr>
            <a:endParaRPr lang="en-US"/>
          </a:p>
        </c:txPr>
        <c:crossAx val="160365568"/>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Ashford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14.409119311880307</c:v>
                </c:pt>
                <c:pt idx="1">
                  <c:v>13.763902485672901</c:v>
                </c:pt>
                <c:pt idx="2">
                  <c:v>15.406887961884607</c:v>
                </c:pt>
              </c:numCache>
            </c:numRef>
          </c:val>
        </c:ser>
        <c:marker val="1"/>
        <c:axId val="160398336"/>
        <c:axId val="160416512"/>
      </c:lineChart>
      <c:catAx>
        <c:axId val="160398336"/>
        <c:scaling>
          <c:orientation val="minMax"/>
        </c:scaling>
        <c:axPos val="b"/>
        <c:numFmt formatCode="General" sourceLinked="1"/>
        <c:tickLblPos val="nextTo"/>
        <c:crossAx val="160416512"/>
        <c:crosses val="autoZero"/>
        <c:auto val="1"/>
        <c:lblAlgn val="ctr"/>
        <c:lblOffset val="100"/>
      </c:catAx>
      <c:valAx>
        <c:axId val="16041651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398336"/>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Ashford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3.90372295789926</c:v>
                </c:pt>
                <c:pt idx="1">
                  <c:v>3.22425490196078</c:v>
                </c:pt>
                <c:pt idx="2">
                  <c:v>3.1646479999999997</c:v>
                </c:pt>
              </c:numCache>
            </c:numRef>
          </c:val>
        </c:ser>
        <c:axId val="160451968"/>
        <c:axId val="160461952"/>
      </c:barChart>
      <c:catAx>
        <c:axId val="160451968"/>
        <c:scaling>
          <c:orientation val="minMax"/>
        </c:scaling>
        <c:axPos val="b"/>
        <c:numFmt formatCode="General" sourceLinked="1"/>
        <c:tickLblPos val="nextTo"/>
        <c:crossAx val="160461952"/>
        <c:crosses val="autoZero"/>
        <c:auto val="1"/>
        <c:lblAlgn val="ctr"/>
        <c:lblOffset val="100"/>
      </c:catAx>
      <c:valAx>
        <c:axId val="160461952"/>
        <c:scaling>
          <c:orientation val="minMax"/>
        </c:scaling>
        <c:axPos val="l"/>
        <c:majorGridlines/>
        <c:numFmt formatCode="General" sourceLinked="1"/>
        <c:tickLblPos val="nextTo"/>
        <c:txPr>
          <a:bodyPr/>
          <a:lstStyle/>
          <a:p>
            <a:pPr>
              <a:defRPr sz="800"/>
            </a:pPr>
            <a:endParaRPr lang="en-US"/>
          </a:p>
        </c:txPr>
        <c:crossAx val="160451968"/>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Kent</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8890</c:v>
                </c:pt>
                <c:pt idx="1">
                  <c:v>8806</c:v>
                </c:pt>
                <c:pt idx="2">
                  <c:v>8996</c:v>
                </c:pt>
                <c:pt idx="3">
                  <c:v>9254</c:v>
                </c:pt>
                <c:pt idx="4">
                  <c:v>9455</c:v>
                </c:pt>
              </c:numCache>
            </c:numRef>
          </c:val>
        </c:ser>
        <c:marker val="1"/>
        <c:axId val="160494720"/>
        <c:axId val="160496256"/>
      </c:lineChart>
      <c:catAx>
        <c:axId val="160494720"/>
        <c:scaling>
          <c:orientation val="minMax"/>
        </c:scaling>
        <c:axPos val="b"/>
        <c:numFmt formatCode="General" sourceLinked="1"/>
        <c:tickLblPos val="nextTo"/>
        <c:crossAx val="160496256"/>
        <c:crosses val="autoZero"/>
        <c:auto val="1"/>
        <c:lblAlgn val="ctr"/>
        <c:lblOffset val="100"/>
      </c:catAx>
      <c:valAx>
        <c:axId val="160496256"/>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494720"/>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Kent</c:v>
                </c:pt>
              </c:strCache>
            </c:strRef>
          </c:tx>
          <c:spPr>
            <a:solidFill>
              <a:schemeClr val="tx1"/>
            </a:solidFill>
          </c:spPr>
          <c:val>
            <c:numRef>
              <c:f>Sheet1!$R$180:$V$180</c:f>
              <c:numCache>
                <c:formatCode>General</c:formatCode>
                <c:ptCount val="5"/>
                <c:pt idx="0">
                  <c:v>6006.1439677438311</c:v>
                </c:pt>
                <c:pt idx="1">
                  <c:v>5897.7412307432651</c:v>
                </c:pt>
                <c:pt idx="2">
                  <c:v>5960.3750345358585</c:v>
                </c:pt>
                <c:pt idx="3">
                  <c:v>6075.7665287899736</c:v>
                </c:pt>
                <c:pt idx="4">
                  <c:v>6137.8646852388738</c:v>
                </c:pt>
              </c:numCache>
            </c:numRef>
          </c:val>
        </c:ser>
        <c:axId val="160532352"/>
        <c:axId val="160533888"/>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0532352"/>
        <c:axId val="160533888"/>
      </c:lineChart>
      <c:catAx>
        <c:axId val="160532352"/>
        <c:scaling>
          <c:orientation val="minMax"/>
        </c:scaling>
        <c:axPos val="b"/>
        <c:tickLblPos val="nextTo"/>
        <c:crossAx val="160533888"/>
        <c:crosses val="autoZero"/>
        <c:auto val="1"/>
        <c:lblAlgn val="ctr"/>
        <c:lblOffset val="100"/>
      </c:catAx>
      <c:valAx>
        <c:axId val="160533888"/>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5323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Kent</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6942</c:v>
                </c:pt>
                <c:pt idx="1">
                  <c:v>6850</c:v>
                </c:pt>
                <c:pt idx="2">
                  <c:v>6946</c:v>
                </c:pt>
                <c:pt idx="3">
                  <c:v>7097</c:v>
                </c:pt>
                <c:pt idx="4">
                  <c:v>7224</c:v>
                </c:pt>
              </c:numCache>
            </c:numRef>
          </c:val>
        </c:ser>
        <c:marker val="1"/>
        <c:axId val="160571392"/>
        <c:axId val="160572928"/>
      </c:lineChart>
      <c:catAx>
        <c:axId val="160571392"/>
        <c:scaling>
          <c:orientation val="minMax"/>
        </c:scaling>
        <c:axPos val="b"/>
        <c:numFmt formatCode="General" sourceLinked="1"/>
        <c:tickLblPos val="nextTo"/>
        <c:crossAx val="160572928"/>
        <c:crosses val="autoZero"/>
        <c:auto val="1"/>
        <c:lblAlgn val="ctr"/>
        <c:lblOffset val="100"/>
      </c:catAx>
      <c:valAx>
        <c:axId val="160572928"/>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571392"/>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Kent</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4690.062027455313</c:v>
                </c:pt>
                <c:pt idx="1">
                  <c:v>4587.7273938895514</c:v>
                </c:pt>
                <c:pt idx="2">
                  <c:v>4602.1303901607434</c:v>
                </c:pt>
                <c:pt idx="3">
                  <c:v>4659.5758650121461</c:v>
                </c:pt>
                <c:pt idx="4">
                  <c:v>4689.5753026087386</c:v>
                </c:pt>
              </c:numCache>
            </c:numRef>
          </c:val>
        </c:ser>
        <c:axId val="160621312"/>
        <c:axId val="160622848"/>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0621312"/>
        <c:axId val="160622848"/>
      </c:lineChart>
      <c:catAx>
        <c:axId val="160621312"/>
        <c:scaling>
          <c:orientation val="minMax"/>
        </c:scaling>
        <c:axPos val="b"/>
        <c:numFmt formatCode="General" sourceLinked="1"/>
        <c:tickLblPos val="nextTo"/>
        <c:crossAx val="160622848"/>
        <c:crosses val="autoZero"/>
        <c:auto val="1"/>
        <c:lblAlgn val="ctr"/>
        <c:lblOffset val="100"/>
      </c:catAx>
      <c:valAx>
        <c:axId val="160622848"/>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62131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Ashford</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9.7357802523381896</c:v>
                </c:pt>
                <c:pt idx="1">
                  <c:v>9.6117442253521101</c:v>
                </c:pt>
                <c:pt idx="2">
                  <c:v>9.8448375701429551</c:v>
                </c:pt>
              </c:numCache>
            </c:numRef>
          </c:val>
        </c:ser>
        <c:marker val="1"/>
        <c:axId val="158107136"/>
        <c:axId val="158108672"/>
      </c:lineChart>
      <c:catAx>
        <c:axId val="158107136"/>
        <c:scaling>
          <c:orientation val="minMax"/>
        </c:scaling>
        <c:axPos val="b"/>
        <c:numFmt formatCode="General" sourceLinked="1"/>
        <c:tickLblPos val="nextTo"/>
        <c:crossAx val="158108672"/>
        <c:crosses val="autoZero"/>
        <c:auto val="1"/>
        <c:lblAlgn val="ctr"/>
        <c:lblOffset val="100"/>
      </c:catAx>
      <c:valAx>
        <c:axId val="158108672"/>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107136"/>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Kent</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4809</c:v>
                </c:pt>
                <c:pt idx="1">
                  <c:v>4829</c:v>
                </c:pt>
                <c:pt idx="2">
                  <c:v>4969</c:v>
                </c:pt>
                <c:pt idx="3">
                  <c:v>5061</c:v>
                </c:pt>
                <c:pt idx="4">
                  <c:v>5163</c:v>
                </c:pt>
              </c:numCache>
            </c:numRef>
          </c:val>
        </c:ser>
        <c:marker val="1"/>
        <c:axId val="160656000"/>
        <c:axId val="160661888"/>
      </c:lineChart>
      <c:catAx>
        <c:axId val="160656000"/>
        <c:scaling>
          <c:orientation val="minMax"/>
        </c:scaling>
        <c:axPos val="b"/>
        <c:numFmt formatCode="General" sourceLinked="1"/>
        <c:tickLblPos val="nextTo"/>
        <c:crossAx val="160661888"/>
        <c:crosses val="autoZero"/>
        <c:auto val="1"/>
        <c:lblAlgn val="ctr"/>
        <c:lblOffset val="100"/>
      </c:catAx>
      <c:valAx>
        <c:axId val="160661888"/>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656000"/>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Kent</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3248.9928392441052</c:v>
                </c:pt>
                <c:pt idx="1">
                  <c:v>3234.1803773857855</c:v>
                </c:pt>
                <c:pt idx="2">
                  <c:v>3292.2525062926479</c:v>
                </c:pt>
                <c:pt idx="3">
                  <c:v>3322.8284419933016</c:v>
                </c:pt>
                <c:pt idx="4">
                  <c:v>3351.6441427697837</c:v>
                </c:pt>
              </c:numCache>
            </c:numRef>
          </c:val>
        </c:ser>
        <c:axId val="160763264"/>
        <c:axId val="160781440"/>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0763264"/>
        <c:axId val="160781440"/>
      </c:lineChart>
      <c:catAx>
        <c:axId val="160763264"/>
        <c:scaling>
          <c:orientation val="minMax"/>
        </c:scaling>
        <c:axPos val="b"/>
        <c:numFmt formatCode="General" sourceLinked="1"/>
        <c:tickLblPos val="nextTo"/>
        <c:crossAx val="160781440"/>
        <c:crosses val="autoZero"/>
        <c:auto val="1"/>
        <c:lblAlgn val="ctr"/>
        <c:lblOffset val="100"/>
      </c:catAx>
      <c:valAx>
        <c:axId val="160781440"/>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76326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Kent</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4297</c:v>
                </c:pt>
                <c:pt idx="1">
                  <c:v>4259</c:v>
                </c:pt>
                <c:pt idx="2">
                  <c:v>4346</c:v>
                </c:pt>
                <c:pt idx="3">
                  <c:v>4472</c:v>
                </c:pt>
                <c:pt idx="4">
                  <c:v>4543</c:v>
                </c:pt>
              </c:numCache>
            </c:numRef>
          </c:val>
        </c:ser>
        <c:marker val="1"/>
        <c:axId val="160813056"/>
        <c:axId val="160814592"/>
      </c:lineChart>
      <c:catAx>
        <c:axId val="160813056"/>
        <c:scaling>
          <c:orientation val="minMax"/>
        </c:scaling>
        <c:axPos val="b"/>
        <c:numFmt formatCode="General" sourceLinked="1"/>
        <c:tickLblPos val="nextTo"/>
        <c:crossAx val="160814592"/>
        <c:crosses val="autoZero"/>
        <c:auto val="1"/>
        <c:lblAlgn val="ctr"/>
        <c:lblOffset val="100"/>
      </c:catAx>
      <c:valAx>
        <c:axId val="160814592"/>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813056"/>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Kent</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6</c:v>
                </c:pt>
                <c:pt idx="1">
                  <c:v>5</c:v>
                </c:pt>
                <c:pt idx="2">
                  <c:v>3</c:v>
                </c:pt>
                <c:pt idx="3">
                  <c:v>2</c:v>
                </c:pt>
                <c:pt idx="4">
                  <c:v>3</c:v>
                </c:pt>
              </c:numCache>
            </c:numRef>
          </c:val>
        </c:ser>
        <c:axId val="160879360"/>
        <c:axId val="160880896"/>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0879360"/>
        <c:axId val="160880896"/>
      </c:lineChart>
      <c:catAx>
        <c:axId val="160879360"/>
        <c:scaling>
          <c:orientation val="minMax"/>
        </c:scaling>
        <c:axPos val="b"/>
        <c:tickLblPos val="nextTo"/>
        <c:crossAx val="160880896"/>
        <c:crosses val="autoZero"/>
        <c:auto val="1"/>
        <c:lblAlgn val="ctr"/>
        <c:lblOffset val="100"/>
      </c:catAx>
      <c:valAx>
        <c:axId val="16088089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087936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Kent</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11</c:v>
                </c:pt>
                <c:pt idx="1">
                  <c:v>8</c:v>
                </c:pt>
                <c:pt idx="2">
                  <c:v>4</c:v>
                </c:pt>
                <c:pt idx="3">
                  <c:v>3</c:v>
                </c:pt>
                <c:pt idx="4">
                  <c:v>5</c:v>
                </c:pt>
              </c:numCache>
            </c:numRef>
          </c:val>
        </c:ser>
        <c:axId val="160921088"/>
        <c:axId val="160922624"/>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0921088"/>
        <c:axId val="160922624"/>
      </c:lineChart>
      <c:catAx>
        <c:axId val="160921088"/>
        <c:scaling>
          <c:orientation val="minMax"/>
        </c:scaling>
        <c:axPos val="b"/>
        <c:tickLblPos val="nextTo"/>
        <c:crossAx val="160922624"/>
        <c:crosses val="autoZero"/>
        <c:auto val="1"/>
        <c:lblAlgn val="ctr"/>
        <c:lblOffset val="100"/>
      </c:catAx>
      <c:valAx>
        <c:axId val="16092262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092108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Kent</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17</c:v>
                </c:pt>
                <c:pt idx="1">
                  <c:v>20</c:v>
                </c:pt>
                <c:pt idx="2">
                  <c:v>21</c:v>
                </c:pt>
                <c:pt idx="3">
                  <c:v>20</c:v>
                </c:pt>
                <c:pt idx="4">
                  <c:v>22</c:v>
                </c:pt>
              </c:numCache>
            </c:numRef>
          </c:val>
        </c:ser>
        <c:axId val="161029120"/>
        <c:axId val="161030912"/>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1029120"/>
        <c:axId val="161030912"/>
      </c:lineChart>
      <c:catAx>
        <c:axId val="161029120"/>
        <c:scaling>
          <c:orientation val="minMax"/>
        </c:scaling>
        <c:axPos val="b"/>
        <c:tickLblPos val="nextTo"/>
        <c:crossAx val="161030912"/>
        <c:crosses val="autoZero"/>
        <c:auto val="1"/>
        <c:lblAlgn val="ctr"/>
        <c:lblOffset val="100"/>
      </c:catAx>
      <c:valAx>
        <c:axId val="16103091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102912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Kent</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29.5</c:v>
                </c:pt>
                <c:pt idx="1">
                  <c:v>29.1</c:v>
                </c:pt>
                <c:pt idx="2">
                  <c:v>29.2</c:v>
                </c:pt>
              </c:numCache>
            </c:numRef>
          </c:val>
        </c:ser>
        <c:marker val="1"/>
        <c:axId val="161086464"/>
        <c:axId val="160961280"/>
      </c:lineChart>
      <c:catAx>
        <c:axId val="161086464"/>
        <c:scaling>
          <c:orientation val="minMax"/>
        </c:scaling>
        <c:axPos val="b"/>
        <c:numFmt formatCode="General" sourceLinked="1"/>
        <c:tickLblPos val="nextTo"/>
        <c:crossAx val="160961280"/>
        <c:crosses val="autoZero"/>
        <c:auto val="1"/>
        <c:lblAlgn val="ctr"/>
        <c:lblOffset val="100"/>
      </c:catAx>
      <c:valAx>
        <c:axId val="160961280"/>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086464"/>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Kent</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33.300000000000011</c:v>
                </c:pt>
                <c:pt idx="1">
                  <c:v>34.6</c:v>
                </c:pt>
                <c:pt idx="2">
                  <c:v>35.300000000000011</c:v>
                </c:pt>
              </c:numCache>
            </c:numRef>
          </c:val>
        </c:ser>
        <c:marker val="1"/>
        <c:axId val="160976256"/>
        <c:axId val="160990336"/>
      </c:lineChart>
      <c:catAx>
        <c:axId val="160976256"/>
        <c:scaling>
          <c:orientation val="minMax"/>
        </c:scaling>
        <c:axPos val="b"/>
        <c:numFmt formatCode="General" sourceLinked="1"/>
        <c:tickLblPos val="nextTo"/>
        <c:crossAx val="160990336"/>
        <c:crosses val="autoZero"/>
        <c:auto val="1"/>
        <c:lblAlgn val="ctr"/>
        <c:lblOffset val="100"/>
      </c:catAx>
      <c:valAx>
        <c:axId val="160990336"/>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0976256"/>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Ashford</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80.051103366042625</c:v>
                </c:pt>
                <c:pt idx="1">
                  <c:v>67.523545676254443</c:v>
                </c:pt>
                <c:pt idx="2">
                  <c:v>44.400109804212498</c:v>
                </c:pt>
                <c:pt idx="3">
                  <c:v>33.614138976694647</c:v>
                </c:pt>
              </c:numCache>
            </c:numRef>
          </c:val>
        </c:ser>
        <c:axId val="161182464"/>
        <c:axId val="161184000"/>
      </c:barChart>
      <c:catAx>
        <c:axId val="161182464"/>
        <c:scaling>
          <c:orientation val="minMax"/>
        </c:scaling>
        <c:axPos val="b"/>
        <c:tickLblPos val="nextTo"/>
        <c:txPr>
          <a:bodyPr/>
          <a:lstStyle/>
          <a:p>
            <a:pPr>
              <a:defRPr sz="800"/>
            </a:pPr>
            <a:endParaRPr lang="en-US"/>
          </a:p>
        </c:txPr>
        <c:crossAx val="161184000"/>
        <c:crosses val="autoZero"/>
        <c:auto val="1"/>
        <c:lblAlgn val="ctr"/>
        <c:lblOffset val="100"/>
      </c:catAx>
      <c:valAx>
        <c:axId val="161184000"/>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182464"/>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Ashford</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22.571129530722025</c:v>
                </c:pt>
                <c:pt idx="1">
                  <c:v>15.27497589743844</c:v>
                </c:pt>
                <c:pt idx="2">
                  <c:v>6.6868559321131809</c:v>
                </c:pt>
                <c:pt idx="3">
                  <c:v>4.74949307505634</c:v>
                </c:pt>
              </c:numCache>
            </c:numRef>
          </c:val>
        </c:ser>
        <c:axId val="161211520"/>
        <c:axId val="161213056"/>
      </c:barChart>
      <c:catAx>
        <c:axId val="161211520"/>
        <c:scaling>
          <c:orientation val="minMax"/>
        </c:scaling>
        <c:axPos val="b"/>
        <c:numFmt formatCode="General" sourceLinked="1"/>
        <c:tickLblPos val="nextTo"/>
        <c:txPr>
          <a:bodyPr/>
          <a:lstStyle/>
          <a:p>
            <a:pPr>
              <a:defRPr sz="800"/>
            </a:pPr>
            <a:endParaRPr lang="en-US"/>
          </a:p>
        </c:txPr>
        <c:crossAx val="161213056"/>
        <c:crosses val="autoZero"/>
        <c:auto val="1"/>
        <c:lblAlgn val="ctr"/>
        <c:lblOffset val="100"/>
      </c:catAx>
      <c:valAx>
        <c:axId val="16121305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211520"/>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Ashford</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32.215214305316195</c:v>
                </c:pt>
                <c:pt idx="1">
                  <c:v>32.736285346117512</c:v>
                </c:pt>
                <c:pt idx="2">
                  <c:v>32.82739617733025</c:v>
                </c:pt>
              </c:numCache>
            </c:numRef>
          </c:val>
        </c:ser>
        <c:marker val="1"/>
        <c:axId val="158218112"/>
        <c:axId val="158219648"/>
      </c:lineChart>
      <c:catAx>
        <c:axId val="158218112"/>
        <c:scaling>
          <c:orientation val="minMax"/>
        </c:scaling>
        <c:axPos val="b"/>
        <c:numFmt formatCode="General" sourceLinked="1"/>
        <c:tickLblPos val="nextTo"/>
        <c:crossAx val="158219648"/>
        <c:crosses val="autoZero"/>
        <c:auto val="1"/>
        <c:lblAlgn val="ctr"/>
        <c:lblOffset val="100"/>
      </c:catAx>
      <c:valAx>
        <c:axId val="158219648"/>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218112"/>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Ashford</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19.954525355183925</c:v>
                </c:pt>
                <c:pt idx="1">
                  <c:v>11.062310403301623</c:v>
                </c:pt>
                <c:pt idx="2">
                  <c:v>2.7499518457146372</c:v>
                </c:pt>
                <c:pt idx="3">
                  <c:v>1.8721360028907601</c:v>
                </c:pt>
              </c:numCache>
            </c:numRef>
          </c:val>
        </c:ser>
        <c:axId val="161125888"/>
        <c:axId val="161127424"/>
      </c:barChart>
      <c:catAx>
        <c:axId val="161125888"/>
        <c:scaling>
          <c:orientation val="minMax"/>
        </c:scaling>
        <c:axPos val="b"/>
        <c:numFmt formatCode="General" sourceLinked="1"/>
        <c:tickLblPos val="nextTo"/>
        <c:txPr>
          <a:bodyPr/>
          <a:lstStyle/>
          <a:p>
            <a:pPr>
              <a:defRPr sz="800"/>
            </a:pPr>
            <a:endParaRPr lang="en-US"/>
          </a:p>
        </c:txPr>
        <c:crossAx val="161127424"/>
        <c:crosses val="autoZero"/>
        <c:auto val="1"/>
        <c:lblAlgn val="ctr"/>
        <c:lblOffset val="100"/>
      </c:catAx>
      <c:valAx>
        <c:axId val="16112742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125888"/>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Ashford</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8.8323086707596445</c:v>
                </c:pt>
                <c:pt idx="1">
                  <c:v>6.9273098458923297</c:v>
                </c:pt>
                <c:pt idx="2">
                  <c:v>3.2952804813593914</c:v>
                </c:pt>
                <c:pt idx="3">
                  <c:v>1.8865092649612063</c:v>
                </c:pt>
              </c:numCache>
            </c:numRef>
          </c:val>
        </c:ser>
        <c:axId val="161314688"/>
        <c:axId val="161316224"/>
      </c:barChart>
      <c:catAx>
        <c:axId val="161314688"/>
        <c:scaling>
          <c:orientation val="minMax"/>
        </c:scaling>
        <c:axPos val="b"/>
        <c:numFmt formatCode="General" sourceLinked="1"/>
        <c:tickLblPos val="nextTo"/>
        <c:txPr>
          <a:bodyPr/>
          <a:lstStyle/>
          <a:p>
            <a:pPr>
              <a:defRPr sz="800"/>
            </a:pPr>
            <a:endParaRPr lang="en-US"/>
          </a:p>
        </c:txPr>
        <c:crossAx val="161316224"/>
        <c:crosses val="autoZero"/>
        <c:auto val="1"/>
        <c:lblAlgn val="ctr"/>
        <c:lblOffset val="100"/>
      </c:catAx>
      <c:valAx>
        <c:axId val="16131622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314688"/>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Ashford</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77.728448699144863</c:v>
                </c:pt>
                <c:pt idx="1">
                  <c:v>63.859109245813208</c:v>
                </c:pt>
                <c:pt idx="2">
                  <c:v>39.667683054725828</c:v>
                </c:pt>
                <c:pt idx="3">
                  <c:v>28.68081856447693</c:v>
                </c:pt>
              </c:numCache>
            </c:numRef>
          </c:val>
        </c:ser>
        <c:axId val="161360128"/>
        <c:axId val="161370112"/>
      </c:barChart>
      <c:catAx>
        <c:axId val="161360128"/>
        <c:scaling>
          <c:orientation val="minMax"/>
        </c:scaling>
        <c:axPos val="b"/>
        <c:numFmt formatCode="General" sourceLinked="1"/>
        <c:tickLblPos val="nextTo"/>
        <c:txPr>
          <a:bodyPr/>
          <a:lstStyle/>
          <a:p>
            <a:pPr>
              <a:defRPr sz="800"/>
            </a:pPr>
            <a:endParaRPr lang="en-US"/>
          </a:p>
        </c:txPr>
        <c:crossAx val="161370112"/>
        <c:crosses val="autoZero"/>
        <c:auto val="1"/>
        <c:lblAlgn val="ctr"/>
        <c:lblOffset val="100"/>
      </c:catAx>
      <c:valAx>
        <c:axId val="16137011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360128"/>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Ashford</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63.07982590278732</c:v>
                </c:pt>
                <c:pt idx="1">
                  <c:v>50.80045437185413</c:v>
                </c:pt>
                <c:pt idx="2">
                  <c:v>26.828108829536674</c:v>
                </c:pt>
                <c:pt idx="3">
                  <c:v>18.721337062726075</c:v>
                </c:pt>
              </c:numCache>
            </c:numRef>
          </c:val>
        </c:ser>
        <c:axId val="161393280"/>
        <c:axId val="161223040"/>
      </c:barChart>
      <c:catAx>
        <c:axId val="161393280"/>
        <c:scaling>
          <c:orientation val="minMax"/>
        </c:scaling>
        <c:axPos val="b"/>
        <c:numFmt formatCode="General" sourceLinked="1"/>
        <c:tickLblPos val="nextTo"/>
        <c:txPr>
          <a:bodyPr/>
          <a:lstStyle/>
          <a:p>
            <a:pPr>
              <a:defRPr sz="800"/>
            </a:pPr>
            <a:endParaRPr lang="en-US"/>
          </a:p>
        </c:txPr>
        <c:crossAx val="161223040"/>
        <c:crosses val="autoZero"/>
        <c:auto val="1"/>
        <c:lblAlgn val="ctr"/>
        <c:lblOffset val="100"/>
      </c:catAx>
      <c:valAx>
        <c:axId val="16122304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393280"/>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Ashford</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39.248090918323193</c:v>
                </c:pt>
                <c:pt idx="1">
                  <c:v>30.091000751716564</c:v>
                </c:pt>
                <c:pt idx="2">
                  <c:v>16.728959275265439</c:v>
                </c:pt>
                <c:pt idx="3">
                  <c:v>12.308353737150483</c:v>
                </c:pt>
              </c:numCache>
            </c:numRef>
          </c:val>
        </c:ser>
        <c:axId val="161283072"/>
        <c:axId val="161415936"/>
      </c:barChart>
      <c:catAx>
        <c:axId val="161283072"/>
        <c:scaling>
          <c:orientation val="minMax"/>
        </c:scaling>
        <c:axPos val="b"/>
        <c:numFmt formatCode="General" sourceLinked="1"/>
        <c:tickLblPos val="nextTo"/>
        <c:txPr>
          <a:bodyPr/>
          <a:lstStyle/>
          <a:p>
            <a:pPr>
              <a:defRPr sz="800"/>
            </a:pPr>
            <a:endParaRPr lang="en-US"/>
          </a:p>
        </c:txPr>
        <c:crossAx val="161415936"/>
        <c:crosses val="autoZero"/>
        <c:auto val="1"/>
        <c:lblAlgn val="ctr"/>
        <c:lblOffset val="100"/>
      </c:catAx>
      <c:valAx>
        <c:axId val="16141593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283072"/>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Ashford</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30.836978796119141</c:v>
                </c:pt>
                <c:pt idx="1">
                  <c:v>31.234420186624199</c:v>
                </c:pt>
                <c:pt idx="2">
                  <c:v>31.711974137219936</c:v>
                </c:pt>
              </c:numCache>
            </c:numRef>
          </c:val>
        </c:ser>
        <c:marker val="1"/>
        <c:axId val="158148864"/>
        <c:axId val="158158848"/>
      </c:lineChart>
      <c:catAx>
        <c:axId val="158148864"/>
        <c:scaling>
          <c:orientation val="minMax"/>
        </c:scaling>
        <c:axPos val="b"/>
        <c:numFmt formatCode="General" sourceLinked="1"/>
        <c:tickLblPos val="nextTo"/>
        <c:crossAx val="158158848"/>
        <c:crosses val="autoZero"/>
        <c:auto val="1"/>
        <c:lblAlgn val="ctr"/>
        <c:lblOffset val="100"/>
      </c:catAx>
      <c:valAx>
        <c:axId val="158158848"/>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148864"/>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Ashford</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16.732114144409888</c:v>
                </c:pt>
                <c:pt idx="1">
                  <c:v>16.035388243070788</c:v>
                </c:pt>
                <c:pt idx="2">
                  <c:v>17.505262963669189</c:v>
                </c:pt>
              </c:numCache>
            </c:numRef>
          </c:val>
        </c:ser>
        <c:marker val="1"/>
        <c:axId val="158186112"/>
        <c:axId val="158269824"/>
      </c:lineChart>
      <c:catAx>
        <c:axId val="158186112"/>
        <c:scaling>
          <c:orientation val="minMax"/>
        </c:scaling>
        <c:axPos val="b"/>
        <c:numFmt formatCode="General" sourceLinked="1"/>
        <c:tickLblPos val="nextTo"/>
        <c:crossAx val="158269824"/>
        <c:crosses val="autoZero"/>
        <c:auto val="1"/>
        <c:lblAlgn val="ctr"/>
        <c:lblOffset val="100"/>
      </c:catAx>
      <c:valAx>
        <c:axId val="158269824"/>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186112"/>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68A87B-7E72-4E30-9857-F554A1B7A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30</Pages>
  <Words>1410</Words>
  <Characters>8042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2018-06-21T13:53:00Z</dcterms:created>
  <dcterms:modified xsi:type="dcterms:W3CDTF">2018-07-16T11:14:00Z</dcterms:modified>
</cp:coreProperties>
</file>