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66CB8">
      <w:r w:rsidRPr="00466CB8">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E63041" w:rsidRDefault="00D95323" w:rsidP="004D3814">
                  <w:pPr>
                    <w:jc w:val="right"/>
                    <w:rPr>
                      <w:rFonts w:ascii="Segoe UI" w:hAnsi="Segoe UI" w:cs="Segoe UI"/>
                      <w:b/>
                      <w:sz w:val="56"/>
                      <w:szCs w:val="72"/>
                      <w:u w:val="single"/>
                    </w:rPr>
                  </w:pPr>
                  <w:r w:rsidRPr="00E63041">
                    <w:rPr>
                      <w:rFonts w:ascii="Segoe UI" w:hAnsi="Segoe UI" w:cs="Segoe UI"/>
                      <w:b/>
                      <w:sz w:val="56"/>
                      <w:szCs w:val="72"/>
                      <w:u w:val="single"/>
                    </w:rPr>
                    <w:t xml:space="preserve">East </w:t>
                  </w:r>
                  <w:r w:rsidR="005C458E">
                    <w:rPr>
                      <w:rFonts w:ascii="Segoe UI" w:hAnsi="Segoe UI" w:cs="Segoe UI"/>
                      <w:b/>
                      <w:sz w:val="56"/>
                      <w:szCs w:val="72"/>
                      <w:u w:val="single"/>
                    </w:rPr>
                    <w:t>Riding of York</w:t>
                  </w:r>
                  <w:r w:rsidR="00E63041" w:rsidRPr="00E63041">
                    <w:rPr>
                      <w:rFonts w:ascii="Segoe UI" w:hAnsi="Segoe UI" w:cs="Segoe UI"/>
                      <w:b/>
                      <w:sz w:val="56"/>
                      <w:szCs w:val="72"/>
                      <w:u w:val="single"/>
                    </w:rPr>
                    <w:t>shire</w:t>
                  </w:r>
                  <w:r w:rsidR="009579D3" w:rsidRPr="00E63041">
                    <w:rPr>
                      <w:rFonts w:ascii="Segoe UI" w:hAnsi="Segoe UI" w:cs="Segoe UI"/>
                      <w:b/>
                      <w:sz w:val="56"/>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466CB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466CB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466CB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466CB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466CB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95323">
      <w:pPr>
        <w:rPr>
          <w:rFonts w:ascii="Segoe UI" w:hAnsi="Segoe UI" w:cs="Segoe UI"/>
        </w:rPr>
      </w:pPr>
      <w:r>
        <w:rPr>
          <w:rFonts w:ascii="Segoe UI" w:hAnsi="Segoe UI" w:cs="Segoe UI"/>
        </w:rPr>
        <w:t xml:space="preserve">East </w:t>
      </w:r>
      <w:r w:rsidR="005C458E">
        <w:rPr>
          <w:rFonts w:ascii="Segoe UI" w:hAnsi="Segoe UI" w:cs="Segoe UI"/>
        </w:rPr>
        <w:t>Riding of York</w:t>
      </w:r>
      <w:r w:rsidR="00E63041">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5C458E">
        <w:rPr>
          <w:rFonts w:ascii="Segoe UI" w:hAnsi="Segoe UI" w:cs="Segoe UI"/>
        </w:rPr>
        <w:t>89</w:t>
      </w:r>
      <w:r w:rsidR="001676C0">
        <w:rPr>
          <w:rFonts w:ascii="Segoe UI" w:hAnsi="Segoe UI" w:cs="Segoe UI"/>
        </w:rPr>
        <w:t>0</w:t>
      </w:r>
      <w:r w:rsidR="00D625BB">
        <w:rPr>
          <w:rFonts w:ascii="Segoe UI" w:hAnsi="Segoe UI" w:cs="Segoe UI"/>
        </w:rPr>
        <w:t xml:space="preserve">, made up of </w:t>
      </w:r>
      <w:r w:rsidR="005C458E">
        <w:rPr>
          <w:rFonts w:ascii="Segoe UI" w:hAnsi="Segoe UI" w:cs="Segoe UI"/>
        </w:rPr>
        <w:t>79</w:t>
      </w:r>
      <w:r w:rsidR="001676C0">
        <w:rPr>
          <w:rFonts w:ascii="Segoe UI" w:hAnsi="Segoe UI" w:cs="Segoe UI"/>
        </w:rPr>
        <w:t>0</w:t>
      </w:r>
      <w:r w:rsidR="00FE2F24">
        <w:rPr>
          <w:rFonts w:ascii="Segoe UI" w:hAnsi="Segoe UI" w:cs="Segoe UI"/>
        </w:rPr>
        <w:t xml:space="preserve"> private enterprise builds</w:t>
      </w:r>
      <w:r w:rsidR="005C458E">
        <w:rPr>
          <w:rFonts w:ascii="Segoe UI" w:hAnsi="Segoe UI" w:cs="Segoe UI"/>
        </w:rPr>
        <w:t xml:space="preserve"> and 100</w:t>
      </w:r>
      <w:r w:rsidR="000A5C43">
        <w:rPr>
          <w:rFonts w:ascii="Segoe UI" w:hAnsi="Segoe UI" w:cs="Segoe UI"/>
        </w:rPr>
        <w:t xml:space="preserve">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5C458E">
        <w:rPr>
          <w:rFonts w:ascii="Segoe UI" w:hAnsi="Segoe UI" w:cs="Segoe UI"/>
        </w:rPr>
        <w:t>156,640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AB1E32">
        <w:rPr>
          <w:rFonts w:ascii="Segoe UI" w:hAnsi="Segoe UI" w:cs="Segoe UI"/>
        </w:rPr>
        <w:t xml:space="preserve">East Riding of Yorkshire </w:t>
      </w:r>
      <w:r w:rsidR="00465750">
        <w:rPr>
          <w:rFonts w:ascii="Segoe UI" w:hAnsi="Segoe UI" w:cs="Segoe UI"/>
        </w:rPr>
        <w:t xml:space="preserve">had net additions of </w:t>
      </w:r>
      <w:r w:rsidR="00AB1E32">
        <w:rPr>
          <w:rFonts w:ascii="Segoe UI" w:hAnsi="Segoe UI" w:cs="Segoe UI"/>
        </w:rPr>
        <w:t>1,159</w:t>
      </w:r>
      <w:r w:rsidR="004A44E1">
        <w:rPr>
          <w:rFonts w:ascii="Segoe UI" w:hAnsi="Segoe UI" w:cs="Segoe UI"/>
        </w:rPr>
        <w:t xml:space="preserve"> dwellings</w:t>
      </w:r>
      <w:r w:rsidR="00465750">
        <w:rPr>
          <w:rFonts w:ascii="Segoe UI" w:hAnsi="Segoe UI" w:cs="Segoe UI"/>
        </w:rPr>
        <w:t xml:space="preserve"> comprised of </w:t>
      </w:r>
      <w:r w:rsidR="00AB1E32">
        <w:rPr>
          <w:rFonts w:ascii="Segoe UI" w:hAnsi="Segoe UI" w:cs="Segoe UI"/>
        </w:rPr>
        <w:t>1,167</w:t>
      </w:r>
      <w:r w:rsidR="00465750">
        <w:rPr>
          <w:rFonts w:ascii="Segoe UI" w:hAnsi="Segoe UI" w:cs="Segoe UI"/>
        </w:rPr>
        <w:t xml:space="preserve"> new builds, </w:t>
      </w:r>
      <w:r w:rsidR="00AB1E32">
        <w:rPr>
          <w:rFonts w:ascii="Segoe UI" w:hAnsi="Segoe UI" w:cs="Segoe UI"/>
        </w:rPr>
        <w:t>24</w:t>
      </w:r>
      <w:r w:rsidR="00465750">
        <w:rPr>
          <w:rFonts w:ascii="Segoe UI" w:hAnsi="Segoe UI" w:cs="Segoe UI"/>
        </w:rPr>
        <w:t xml:space="preserve"> conversations, </w:t>
      </w:r>
      <w:r w:rsidR="00AB1E32">
        <w:rPr>
          <w:rFonts w:ascii="Segoe UI" w:hAnsi="Segoe UI" w:cs="Segoe UI"/>
        </w:rPr>
        <w:t>47</w:t>
      </w:r>
      <w:r w:rsidR="00465750">
        <w:rPr>
          <w:rFonts w:ascii="Segoe UI" w:hAnsi="Segoe UI" w:cs="Segoe UI"/>
        </w:rPr>
        <w:t xml:space="preserve"> change of use, and </w:t>
      </w:r>
      <w:r w:rsidR="00AB1E32">
        <w:rPr>
          <w:rFonts w:ascii="Segoe UI" w:hAnsi="Segoe UI" w:cs="Segoe UI"/>
        </w:rPr>
        <w:t>79</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AB1E32">
        <w:rPr>
          <w:rFonts w:ascii="Segoe UI" w:hAnsi="Segoe UI" w:cs="Segoe UI"/>
        </w:rPr>
        <w:t>East Riding of Yorkshire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AB1E32">
        <w:rPr>
          <w:rFonts w:ascii="Segoe UI" w:hAnsi="Segoe UI" w:cs="Segoe UI"/>
        </w:rPr>
        <w:t>1.8</w:t>
      </w:r>
      <w:r>
        <w:rPr>
          <w:rFonts w:ascii="Segoe UI" w:hAnsi="Segoe UI" w:cs="Segoe UI"/>
        </w:rPr>
        <w:t>, the number of households accommodated in temporary accommodat</w:t>
      </w:r>
      <w:r w:rsidR="00AB1E32">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66CB8"/>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7FA7"/>
    <w:rsid w:val="00AA4EAF"/>
    <w:rsid w:val="00AB1E32"/>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2.4214703706194931</c:v>
                </c:pt>
                <c:pt idx="1">
                  <c:v>2.4691358024691361</c:v>
                </c:pt>
                <c:pt idx="2">
                  <c:v>2.7034155347487796</c:v>
                </c:pt>
                <c:pt idx="3">
                  <c:v>2.0177037229888053</c:v>
                </c:pt>
                <c:pt idx="4">
                  <c:v>1.8054033142046551</c:v>
                </c:pt>
                <c:pt idx="5">
                  <c:v>2.9525032092426189</c:v>
                </c:pt>
                <c:pt idx="6">
                  <c:v>4.4688457609805914</c:v>
                </c:pt>
                <c:pt idx="7">
                  <c:v>5.2987742594484146</c:v>
                </c:pt>
              </c:numCache>
            </c:numRef>
          </c:val>
        </c:ser>
        <c:marker val="1"/>
        <c:axId val="146324096"/>
        <c:axId val="146370944"/>
      </c:lineChart>
      <c:catAx>
        <c:axId val="146324096"/>
        <c:scaling>
          <c:orientation val="minMax"/>
        </c:scaling>
        <c:axPos val="b"/>
        <c:tickLblPos val="nextTo"/>
        <c:txPr>
          <a:bodyPr/>
          <a:lstStyle/>
          <a:p>
            <a:pPr>
              <a:defRPr sz="1000"/>
            </a:pPr>
            <a:endParaRPr lang="en-US"/>
          </a:p>
        </c:txPr>
        <c:crossAx val="146370944"/>
        <c:crosses val="autoZero"/>
        <c:auto val="1"/>
        <c:lblAlgn val="ctr"/>
        <c:lblOffset val="100"/>
      </c:catAx>
      <c:valAx>
        <c:axId val="146370944"/>
        <c:scaling>
          <c:orientation val="minMax"/>
        </c:scaling>
        <c:axPos val="l"/>
        <c:majorGridlines/>
        <c:numFmt formatCode="General" sourceLinked="1"/>
        <c:tickLblPos val="nextTo"/>
        <c:crossAx val="146324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6.5087216870606618E-2</c:v>
                </c:pt>
                <c:pt idx="2">
                  <c:v>6.4478689793023403E-2</c:v>
                </c:pt>
                <c:pt idx="3">
                  <c:v>0</c:v>
                </c:pt>
                <c:pt idx="4">
                  <c:v>0.15321756894790603</c:v>
                </c:pt>
              </c:numCache>
            </c:numRef>
          </c:val>
        </c:ser>
        <c:marker val="1"/>
        <c:axId val="147340288"/>
        <c:axId val="147354368"/>
      </c:lineChart>
      <c:catAx>
        <c:axId val="147340288"/>
        <c:scaling>
          <c:orientation val="minMax"/>
        </c:scaling>
        <c:axPos val="b"/>
        <c:tickLblPos val="nextTo"/>
        <c:crossAx val="147354368"/>
        <c:crosses val="autoZero"/>
        <c:auto val="1"/>
        <c:lblAlgn val="ctr"/>
        <c:lblOffset val="100"/>
      </c:catAx>
      <c:valAx>
        <c:axId val="147354368"/>
        <c:scaling>
          <c:orientation val="minMax"/>
        </c:scaling>
        <c:axPos val="l"/>
        <c:majorGridlines/>
        <c:numFmt formatCode="General" sourceLinked="1"/>
        <c:tickLblPos val="nextTo"/>
        <c:crossAx val="147340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-0.19781089278649611</c:v>
                </c:pt>
                <c:pt idx="1">
                  <c:v>-0.13017443374121324</c:v>
                </c:pt>
                <c:pt idx="2">
                  <c:v>0.64478689793023403</c:v>
                </c:pt>
                <c:pt idx="3">
                  <c:v>0.32092426187419765</c:v>
                </c:pt>
                <c:pt idx="4">
                  <c:v>0.30005107252298263</c:v>
                </c:pt>
              </c:numCache>
            </c:numRef>
          </c:val>
        </c:ser>
        <c:marker val="1"/>
        <c:axId val="147397248"/>
        <c:axId val="147415424"/>
      </c:lineChart>
      <c:catAx>
        <c:axId val="147397248"/>
        <c:scaling>
          <c:orientation val="minMax"/>
        </c:scaling>
        <c:axPos val="b"/>
        <c:tickLblPos val="nextTo"/>
        <c:crossAx val="147415424"/>
        <c:crosses val="autoZero"/>
        <c:auto val="1"/>
        <c:lblAlgn val="ctr"/>
        <c:lblOffset val="100"/>
      </c:catAx>
      <c:valAx>
        <c:axId val="147415424"/>
        <c:scaling>
          <c:orientation val="minMax"/>
        </c:scaling>
        <c:axPos val="l"/>
        <c:majorGridlines/>
        <c:numFmt formatCode="General" sourceLinked="1"/>
        <c:tickLblPos val="nextTo"/>
        <c:crossAx val="147397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6.3299485691678754</c:v>
                </c:pt>
                <c:pt idx="1">
                  <c:v>4.0354074459776106</c:v>
                </c:pt>
                <c:pt idx="2">
                  <c:v>0</c:v>
                </c:pt>
                <c:pt idx="3">
                  <c:v>0</c:v>
                </c:pt>
                <c:pt idx="4">
                  <c:v>0</c:v>
                </c:pt>
              </c:numCache>
            </c:numRef>
          </c:val>
        </c:ser>
        <c:marker val="1"/>
        <c:axId val="147433728"/>
        <c:axId val="147464192"/>
      </c:lineChart>
      <c:catAx>
        <c:axId val="147433728"/>
        <c:scaling>
          <c:orientation val="minMax"/>
        </c:scaling>
        <c:axPos val="b"/>
        <c:tickLblPos val="nextTo"/>
        <c:crossAx val="147464192"/>
        <c:crosses val="autoZero"/>
        <c:auto val="1"/>
        <c:lblAlgn val="ctr"/>
        <c:lblOffset val="100"/>
      </c:catAx>
      <c:valAx>
        <c:axId val="147464192"/>
        <c:scaling>
          <c:orientation val="minMax"/>
        </c:scaling>
        <c:axPos val="l"/>
        <c:majorGridlines/>
        <c:numFmt formatCode="General" sourceLinked="1"/>
        <c:tickLblPos val="nextTo"/>
        <c:crossAx val="147433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0.32968482131082688</c:v>
                </c:pt>
                <c:pt idx="1">
                  <c:v>0.39052330122363965</c:v>
                </c:pt>
                <c:pt idx="2">
                  <c:v>0.38687213875814042</c:v>
                </c:pt>
                <c:pt idx="3">
                  <c:v>0.44929396662387677</c:v>
                </c:pt>
                <c:pt idx="4">
                  <c:v>0.50434116445352395</c:v>
                </c:pt>
              </c:numCache>
            </c:numRef>
          </c:val>
        </c:ser>
        <c:marker val="1"/>
        <c:axId val="147474304"/>
        <c:axId val="147475840"/>
      </c:lineChart>
      <c:catAx>
        <c:axId val="147474304"/>
        <c:scaling>
          <c:orientation val="minMax"/>
        </c:scaling>
        <c:axPos val="b"/>
        <c:tickLblPos val="nextTo"/>
        <c:crossAx val="147475840"/>
        <c:crosses val="autoZero"/>
        <c:auto val="1"/>
        <c:lblAlgn val="ctr"/>
        <c:lblOffset val="100"/>
      </c:catAx>
      <c:valAx>
        <c:axId val="147475840"/>
        <c:scaling>
          <c:orientation val="minMax"/>
        </c:scaling>
        <c:axPos val="l"/>
        <c:majorGridlines/>
        <c:numFmt formatCode="General" sourceLinked="1"/>
        <c:tickLblPos val="nextTo"/>
        <c:crossAx val="147474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13.055518923908743</c:v>
                </c:pt>
                <c:pt idx="1">
                  <c:v>9.4376464462379595</c:v>
                </c:pt>
                <c:pt idx="2">
                  <c:v>4.577986975304662</c:v>
                </c:pt>
                <c:pt idx="3">
                  <c:v>5.3915275994865217</c:v>
                </c:pt>
                <c:pt idx="4">
                  <c:v>7.3991317671092949</c:v>
                </c:pt>
              </c:numCache>
            </c:numRef>
          </c:val>
        </c:ser>
        <c:marker val="1"/>
        <c:axId val="147523072"/>
        <c:axId val="147524608"/>
      </c:lineChart>
      <c:catAx>
        <c:axId val="147523072"/>
        <c:scaling>
          <c:orientation val="minMax"/>
        </c:scaling>
        <c:axPos val="b"/>
        <c:tickLblPos val="nextTo"/>
        <c:crossAx val="147524608"/>
        <c:crosses val="autoZero"/>
        <c:auto val="1"/>
        <c:lblAlgn val="ctr"/>
        <c:lblOffset val="100"/>
      </c:catAx>
      <c:valAx>
        <c:axId val="147524608"/>
        <c:scaling>
          <c:orientation val="minMax"/>
        </c:scaling>
        <c:axPos val="l"/>
        <c:majorGridlines/>
        <c:numFmt formatCode="General" sourceLinked="1"/>
        <c:tickLblPos val="nextTo"/>
        <c:crossAx val="147523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East Riding of Yorkshire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6.13</c:v>
                </c:pt>
                <c:pt idx="1">
                  <c:v>6</c:v>
                </c:pt>
                <c:pt idx="2">
                  <c:v>6.56</c:v>
                </c:pt>
                <c:pt idx="3">
                  <c:v>6.73</c:v>
                </c:pt>
                <c:pt idx="4">
                  <c:v>6.65</c:v>
                </c:pt>
              </c:numCache>
            </c:numRef>
          </c:val>
        </c:ser>
        <c:marker val="1"/>
        <c:axId val="147562496"/>
        <c:axId val="147564032"/>
      </c:lineChart>
      <c:catAx>
        <c:axId val="147562496"/>
        <c:scaling>
          <c:orientation val="minMax"/>
        </c:scaling>
        <c:axPos val="b"/>
        <c:numFmt formatCode="General" sourceLinked="1"/>
        <c:tickLblPos val="nextTo"/>
        <c:crossAx val="147564032"/>
        <c:crosses val="autoZero"/>
        <c:auto val="1"/>
        <c:lblAlgn val="ctr"/>
        <c:lblOffset val="100"/>
      </c:catAx>
      <c:valAx>
        <c:axId val="147564032"/>
        <c:scaling>
          <c:orientation val="minMax"/>
        </c:scaling>
        <c:axPos val="l"/>
        <c:majorGridlines/>
        <c:numFmt formatCode="General" sourceLinked="1"/>
        <c:tickLblPos val="nextTo"/>
        <c:crossAx val="147562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East Riding of Yorkshire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5.8596185014337365</c:v>
                </c:pt>
                <c:pt idx="1">
                  <c:v>5.6522265735395054</c:v>
                </c:pt>
                <c:pt idx="2">
                  <c:v>6.11</c:v>
                </c:pt>
                <c:pt idx="3">
                  <c:v>6.37</c:v>
                </c:pt>
                <c:pt idx="4">
                  <c:v>6.5</c:v>
                </c:pt>
              </c:numCache>
            </c:numRef>
          </c:val>
        </c:ser>
        <c:marker val="1"/>
        <c:axId val="147656064"/>
        <c:axId val="147666048"/>
      </c:lineChart>
      <c:catAx>
        <c:axId val="147656064"/>
        <c:scaling>
          <c:orientation val="minMax"/>
        </c:scaling>
        <c:axPos val="b"/>
        <c:numFmt formatCode="General" sourceLinked="1"/>
        <c:tickLblPos val="nextTo"/>
        <c:crossAx val="147666048"/>
        <c:crosses val="autoZero"/>
        <c:auto val="1"/>
        <c:lblAlgn val="ctr"/>
        <c:lblOffset val="100"/>
      </c:catAx>
      <c:valAx>
        <c:axId val="147666048"/>
        <c:scaling>
          <c:orientation val="minMax"/>
        </c:scaling>
        <c:axPos val="l"/>
        <c:majorGridlines/>
        <c:numFmt formatCode="General" sourceLinked="1"/>
        <c:tickLblPos val="nextTo"/>
        <c:crossAx val="147656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East Riding of Yorkshire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76.3</c:v>
                </c:pt>
                <c:pt idx="1">
                  <c:v>76.37</c:v>
                </c:pt>
                <c:pt idx="2">
                  <c:v>80.25</c:v>
                </c:pt>
                <c:pt idx="3">
                  <c:v>85.14</c:v>
                </c:pt>
                <c:pt idx="4">
                  <c:v>87.64</c:v>
                </c:pt>
                <c:pt idx="5">
                  <c:v>90.56</c:v>
                </c:pt>
                <c:pt idx="6">
                  <c:v>92.533737588652471</c:v>
                </c:pt>
                <c:pt idx="7">
                  <c:v>90.50089605734766</c:v>
                </c:pt>
              </c:numCache>
            </c:numRef>
          </c:val>
        </c:ser>
        <c:marker val="1"/>
        <c:axId val="147591168"/>
        <c:axId val="147592704"/>
      </c:lineChart>
      <c:catAx>
        <c:axId val="147591168"/>
        <c:scaling>
          <c:orientation val="minMax"/>
        </c:scaling>
        <c:axPos val="b"/>
        <c:numFmt formatCode="General" sourceLinked="1"/>
        <c:tickLblPos val="nextTo"/>
        <c:crossAx val="147592704"/>
        <c:crosses val="autoZero"/>
        <c:auto val="1"/>
        <c:lblAlgn val="ctr"/>
        <c:lblOffset val="100"/>
      </c:catAx>
      <c:valAx>
        <c:axId val="14759270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47591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3.2569444444444446</c:v>
                </c:pt>
                <c:pt idx="1">
                  <c:v>3.24</c:v>
                </c:pt>
                <c:pt idx="2">
                  <c:v>2.48</c:v>
                </c:pt>
                <c:pt idx="3">
                  <c:v>2.2559503276992068</c:v>
                </c:pt>
                <c:pt idx="4">
                  <c:v>1.97</c:v>
                </c:pt>
                <c:pt idx="5">
                  <c:v>1.75</c:v>
                </c:pt>
                <c:pt idx="6">
                  <c:v>1.8199999999999998</c:v>
                </c:pt>
              </c:numCache>
            </c:numRef>
          </c:val>
        </c:ser>
        <c:marker val="1"/>
        <c:axId val="147632128"/>
        <c:axId val="147633664"/>
      </c:lineChart>
      <c:catAx>
        <c:axId val="147632128"/>
        <c:scaling>
          <c:orientation val="minMax"/>
        </c:scaling>
        <c:axPos val="b"/>
        <c:tickLblPos val="nextTo"/>
        <c:crossAx val="147633664"/>
        <c:crosses val="autoZero"/>
        <c:auto val="1"/>
        <c:lblAlgn val="ctr"/>
        <c:lblOffset val="100"/>
      </c:catAx>
      <c:valAx>
        <c:axId val="147633664"/>
        <c:scaling>
          <c:orientation val="minMax"/>
        </c:scaling>
        <c:axPos val="l"/>
        <c:majorGridlines/>
        <c:numFmt formatCode="General" sourceLinked="1"/>
        <c:tickLblPos val="nextTo"/>
        <c:crossAx val="147632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0.375</c:v>
                </c:pt>
                <c:pt idx="1">
                  <c:v>0.32</c:v>
                </c:pt>
                <c:pt idx="2">
                  <c:v>0.28999999999999998</c:v>
                </c:pt>
                <c:pt idx="3">
                  <c:v>0.15867540531217664</c:v>
                </c:pt>
                <c:pt idx="4">
                  <c:v>0.14000000000000001</c:v>
                </c:pt>
                <c:pt idx="5">
                  <c:v>0.16</c:v>
                </c:pt>
                <c:pt idx="6">
                  <c:v>0.18</c:v>
                </c:pt>
              </c:numCache>
            </c:numRef>
          </c:val>
        </c:ser>
        <c:marker val="1"/>
        <c:axId val="147791232"/>
        <c:axId val="147809408"/>
      </c:lineChart>
      <c:catAx>
        <c:axId val="147791232"/>
        <c:scaling>
          <c:orientation val="minMax"/>
        </c:scaling>
        <c:axPos val="b"/>
        <c:tickLblPos val="nextTo"/>
        <c:crossAx val="147809408"/>
        <c:crosses val="autoZero"/>
        <c:auto val="1"/>
        <c:lblAlgn val="ctr"/>
        <c:lblOffset val="100"/>
      </c:catAx>
      <c:valAx>
        <c:axId val="147809408"/>
        <c:scaling>
          <c:orientation val="minMax"/>
        </c:scaling>
        <c:axPos val="l"/>
        <c:majorGridlines/>
        <c:numFmt formatCode="General" sourceLinked="1"/>
        <c:tickLblPos val="nextTo"/>
        <c:crossAx val="14779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c:v>
                </c:pt>
                <c:pt idx="2">
                  <c:v>6.5936964262165373E-2</c:v>
                </c:pt>
                <c:pt idx="3">
                  <c:v>6.5087216870606632E-2</c:v>
                </c:pt>
                <c:pt idx="4">
                  <c:v>0.38687213875814047</c:v>
                </c:pt>
                <c:pt idx="5">
                  <c:v>0.25673940949935814</c:v>
                </c:pt>
                <c:pt idx="6">
                  <c:v>0.63840653728294161</c:v>
                </c:pt>
                <c:pt idx="7">
                  <c:v>0.70224719101123578</c:v>
                </c:pt>
              </c:numCache>
            </c:numRef>
          </c:val>
        </c:ser>
        <c:marker val="1"/>
        <c:axId val="99355264"/>
        <c:axId val="99361152"/>
      </c:lineChart>
      <c:catAx>
        <c:axId val="99355264"/>
        <c:scaling>
          <c:orientation val="minMax"/>
        </c:scaling>
        <c:axPos val="b"/>
        <c:tickLblPos val="nextTo"/>
        <c:crossAx val="99361152"/>
        <c:crosses val="autoZero"/>
        <c:auto val="1"/>
        <c:lblAlgn val="ctr"/>
        <c:lblOffset val="100"/>
      </c:catAx>
      <c:valAx>
        <c:axId val="99361152"/>
        <c:scaling>
          <c:orientation val="minMax"/>
        </c:scaling>
        <c:axPos val="l"/>
        <c:majorGridlines/>
        <c:numFmt formatCode="General" sourceLinked="1"/>
        <c:tickLblPos val="nextTo"/>
        <c:crossAx val="99355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1.9352686019352685</c:v>
                </c:pt>
                <c:pt idx="2">
                  <c:v>0</c:v>
                </c:pt>
                <c:pt idx="3">
                  <c:v>0</c:v>
                </c:pt>
                <c:pt idx="4">
                  <c:v>0</c:v>
                </c:pt>
                <c:pt idx="5">
                  <c:v>0</c:v>
                </c:pt>
                <c:pt idx="6">
                  <c:v>0</c:v>
                </c:pt>
                <c:pt idx="7">
                  <c:v>0</c:v>
                </c:pt>
              </c:numCache>
            </c:numRef>
          </c:val>
        </c:ser>
        <c:marker val="1"/>
        <c:axId val="99395840"/>
        <c:axId val="99409920"/>
      </c:lineChart>
      <c:catAx>
        <c:axId val="99395840"/>
        <c:scaling>
          <c:orientation val="minMax"/>
        </c:scaling>
        <c:axPos val="b"/>
        <c:tickLblPos val="nextTo"/>
        <c:crossAx val="99409920"/>
        <c:crosses val="autoZero"/>
        <c:auto val="1"/>
        <c:lblAlgn val="ctr"/>
        <c:lblOffset val="100"/>
      </c:catAx>
      <c:valAx>
        <c:axId val="99409920"/>
        <c:scaling>
          <c:orientation val="minMax"/>
        </c:scaling>
        <c:axPos val="l"/>
        <c:majorGridlines/>
        <c:numFmt formatCode="General" sourceLinked="1"/>
        <c:tickLblPos val="nextTo"/>
        <c:crossAx val="99395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2.4214703706194931</c:v>
                </c:pt>
                <c:pt idx="1">
                  <c:v>4.4044044044044055</c:v>
                </c:pt>
                <c:pt idx="2">
                  <c:v>2.7034155347487796</c:v>
                </c:pt>
                <c:pt idx="3">
                  <c:v>2.0827909398594118</c:v>
                </c:pt>
                <c:pt idx="4">
                  <c:v>2.1277967631697736</c:v>
                </c:pt>
                <c:pt idx="5">
                  <c:v>3.2092426187419774</c:v>
                </c:pt>
                <c:pt idx="6">
                  <c:v>5.1072522982635338</c:v>
                </c:pt>
                <c:pt idx="7">
                  <c:v>6.0010214504596524</c:v>
                </c:pt>
              </c:numCache>
            </c:numRef>
          </c:val>
        </c:ser>
        <c:marker val="1"/>
        <c:axId val="147031936"/>
        <c:axId val="147033472"/>
      </c:lineChart>
      <c:catAx>
        <c:axId val="147031936"/>
        <c:scaling>
          <c:orientation val="minMax"/>
        </c:scaling>
        <c:axPos val="b"/>
        <c:tickLblPos val="nextTo"/>
        <c:crossAx val="147033472"/>
        <c:crosses val="autoZero"/>
        <c:auto val="1"/>
        <c:lblAlgn val="ctr"/>
        <c:lblOffset val="100"/>
      </c:catAx>
      <c:valAx>
        <c:axId val="147033472"/>
        <c:scaling>
          <c:orientation val="minMax"/>
        </c:scaling>
        <c:axPos val="l"/>
        <c:majorGridlines/>
        <c:numFmt formatCode="General" sourceLinked="1"/>
        <c:tickLblPos val="nextTo"/>
        <c:crossAx val="14703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2.152418107217327</c:v>
                </c:pt>
                <c:pt idx="1">
                  <c:v>2.8028028028028027</c:v>
                </c:pt>
                <c:pt idx="2">
                  <c:v>2.3737307134379542</c:v>
                </c:pt>
                <c:pt idx="3">
                  <c:v>2.668575891694871</c:v>
                </c:pt>
                <c:pt idx="4">
                  <c:v>1.7409246244116319</c:v>
                </c:pt>
                <c:pt idx="5">
                  <c:v>2.2464698331193835</c:v>
                </c:pt>
                <c:pt idx="6">
                  <c:v>3.0643513789581207</c:v>
                </c:pt>
                <c:pt idx="7">
                  <c:v>5.0434116445352384</c:v>
                </c:pt>
              </c:numCache>
            </c:numRef>
          </c:val>
        </c:ser>
        <c:marker val="1"/>
        <c:axId val="147068416"/>
        <c:axId val="147069952"/>
      </c:lineChart>
      <c:catAx>
        <c:axId val="147068416"/>
        <c:scaling>
          <c:orientation val="minMax"/>
        </c:scaling>
        <c:axPos val="b"/>
        <c:tickLblPos val="nextTo"/>
        <c:crossAx val="147069952"/>
        <c:crosses val="autoZero"/>
        <c:auto val="1"/>
        <c:lblAlgn val="ctr"/>
        <c:lblOffset val="100"/>
      </c:catAx>
      <c:valAx>
        <c:axId val="147069952"/>
        <c:scaling>
          <c:orientation val="minMax"/>
        </c:scaling>
        <c:axPos val="l"/>
        <c:majorGridlines/>
        <c:numFmt formatCode="General" sourceLinked="1"/>
        <c:tickLblPos val="nextTo"/>
        <c:crossAx val="147068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c:v>
                </c:pt>
                <c:pt idx="2">
                  <c:v>0</c:v>
                </c:pt>
                <c:pt idx="3">
                  <c:v>6.5087216870606632E-2</c:v>
                </c:pt>
                <c:pt idx="4">
                  <c:v>0</c:v>
                </c:pt>
                <c:pt idx="5">
                  <c:v>0.32092426187419781</c:v>
                </c:pt>
                <c:pt idx="6">
                  <c:v>0.44688457609805937</c:v>
                </c:pt>
                <c:pt idx="7">
                  <c:v>0.63840653728294161</c:v>
                </c:pt>
              </c:numCache>
            </c:numRef>
          </c:val>
        </c:ser>
        <c:marker val="1"/>
        <c:axId val="147113088"/>
        <c:axId val="147114624"/>
      </c:lineChart>
      <c:catAx>
        <c:axId val="147113088"/>
        <c:scaling>
          <c:orientation val="minMax"/>
        </c:scaling>
        <c:axPos val="b"/>
        <c:tickLblPos val="nextTo"/>
        <c:crossAx val="147114624"/>
        <c:crosses val="autoZero"/>
        <c:auto val="1"/>
        <c:lblAlgn val="ctr"/>
        <c:lblOffset val="100"/>
      </c:catAx>
      <c:valAx>
        <c:axId val="147114624"/>
        <c:scaling>
          <c:orientation val="minMax"/>
        </c:scaling>
        <c:axPos val="l"/>
        <c:majorGridlines/>
        <c:numFmt formatCode="General" sourceLinked="1"/>
        <c:tickLblPos val="nextTo"/>
        <c:crossAx val="147113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0.13346680013346687</c:v>
                </c:pt>
                <c:pt idx="2">
                  <c:v>0.72530660688381909</c:v>
                </c:pt>
                <c:pt idx="3">
                  <c:v>0</c:v>
                </c:pt>
                <c:pt idx="4">
                  <c:v>0</c:v>
                </c:pt>
                <c:pt idx="5">
                  <c:v>0</c:v>
                </c:pt>
                <c:pt idx="6">
                  <c:v>0</c:v>
                </c:pt>
                <c:pt idx="7">
                  <c:v>0</c:v>
                </c:pt>
              </c:numCache>
            </c:numRef>
          </c:val>
        </c:ser>
        <c:marker val="1"/>
        <c:axId val="147161856"/>
        <c:axId val="147163392"/>
      </c:lineChart>
      <c:catAx>
        <c:axId val="147161856"/>
        <c:scaling>
          <c:orientation val="minMax"/>
        </c:scaling>
        <c:axPos val="b"/>
        <c:tickLblPos val="nextTo"/>
        <c:crossAx val="147163392"/>
        <c:crosses val="autoZero"/>
        <c:auto val="1"/>
        <c:lblAlgn val="ctr"/>
        <c:lblOffset val="100"/>
      </c:catAx>
      <c:valAx>
        <c:axId val="147163392"/>
        <c:scaling>
          <c:orientation val="minMax"/>
        </c:scaling>
        <c:axPos val="l"/>
        <c:majorGridlines/>
        <c:numFmt formatCode="General" sourceLinked="1"/>
        <c:tickLblPos val="nextTo"/>
        <c:crossAx val="147161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2.152418107217327</c:v>
                </c:pt>
                <c:pt idx="1">
                  <c:v>2.9362696029362687</c:v>
                </c:pt>
                <c:pt idx="2">
                  <c:v>3.0331003560596077</c:v>
                </c:pt>
                <c:pt idx="3">
                  <c:v>2.7336631085654783</c:v>
                </c:pt>
                <c:pt idx="4">
                  <c:v>1.7409246244116319</c:v>
                </c:pt>
                <c:pt idx="5">
                  <c:v>2.5673940949935812</c:v>
                </c:pt>
                <c:pt idx="6">
                  <c:v>3.5112359550561791</c:v>
                </c:pt>
                <c:pt idx="7">
                  <c:v>5.6818181818181825</c:v>
                </c:pt>
              </c:numCache>
            </c:numRef>
          </c:val>
        </c:ser>
        <c:marker val="1"/>
        <c:axId val="147202432"/>
        <c:axId val="147203968"/>
      </c:lineChart>
      <c:catAx>
        <c:axId val="147202432"/>
        <c:scaling>
          <c:orientation val="minMax"/>
        </c:scaling>
        <c:axPos val="b"/>
        <c:tickLblPos val="nextTo"/>
        <c:crossAx val="147203968"/>
        <c:crosses val="autoZero"/>
        <c:auto val="1"/>
        <c:lblAlgn val="ctr"/>
        <c:lblOffset val="100"/>
      </c:catAx>
      <c:valAx>
        <c:axId val="147203968"/>
        <c:scaling>
          <c:orientation val="minMax"/>
        </c:scaling>
        <c:axPos val="l"/>
        <c:majorGridlines/>
        <c:numFmt formatCode="General" sourceLinked="1"/>
        <c:tickLblPos val="nextTo"/>
        <c:crossAx val="147202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East Riding of Yorkshire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7.2530660688381907</c:v>
                </c:pt>
                <c:pt idx="1">
                  <c:v>5.9229367352252025</c:v>
                </c:pt>
                <c:pt idx="2">
                  <c:v>4.2555935263395455</c:v>
                </c:pt>
                <c:pt idx="3">
                  <c:v>5.519897304236201</c:v>
                </c:pt>
                <c:pt idx="4">
                  <c:v>7.4502042900919303</c:v>
                </c:pt>
              </c:numCache>
            </c:numRef>
          </c:val>
        </c:ser>
        <c:marker val="1"/>
        <c:axId val="147238912"/>
        <c:axId val="147240448"/>
      </c:lineChart>
      <c:catAx>
        <c:axId val="147238912"/>
        <c:scaling>
          <c:orientation val="minMax"/>
        </c:scaling>
        <c:axPos val="b"/>
        <c:tickLblPos val="nextTo"/>
        <c:crossAx val="147240448"/>
        <c:crosses val="autoZero"/>
        <c:auto val="1"/>
        <c:lblAlgn val="ctr"/>
        <c:lblOffset val="100"/>
      </c:catAx>
      <c:valAx>
        <c:axId val="147240448"/>
        <c:scaling>
          <c:orientation val="minMax"/>
        </c:scaling>
        <c:axPos val="l"/>
        <c:majorGridlines/>
        <c:numFmt formatCode="General" sourceLinked="1"/>
        <c:tickLblPos val="nextTo"/>
        <c:crossAx val="147238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D93598-E939-4018-A8A5-00C9E46F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2018-04-27T13:38:00Z</dcterms:created>
  <dcterms:modified xsi:type="dcterms:W3CDTF">2018-05-01T12:45:00Z</dcterms:modified>
</cp:coreProperties>
</file>