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D42F1">
      <w:r w:rsidRPr="006D42F1">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4F47CB" w:rsidRPr="00DB466D" w:rsidRDefault="004F47CB" w:rsidP="004D3814">
                  <w:pPr>
                    <w:jc w:val="right"/>
                    <w:rPr>
                      <w:rFonts w:ascii="Segoe UI" w:hAnsi="Segoe UI" w:cs="Segoe UI"/>
                      <w:b/>
                      <w:sz w:val="56"/>
                      <w:szCs w:val="72"/>
                      <w:u w:val="single"/>
                    </w:rPr>
                  </w:pPr>
                  <w:r w:rsidRPr="00DB466D">
                    <w:rPr>
                      <w:rFonts w:ascii="Segoe UI" w:hAnsi="Segoe UI" w:cs="Segoe UI"/>
                      <w:b/>
                      <w:sz w:val="56"/>
                      <w:szCs w:val="72"/>
                      <w:u w:val="single"/>
                    </w:rPr>
                    <w:t>North Warwickshire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D42F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D42F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D42F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D42F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D42F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D42F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D42F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 xml:space="preserve">orth </w:t>
      </w:r>
      <w:r w:rsidR="00DB466D">
        <w:rPr>
          <w:rFonts w:ascii="Segoe UI" w:hAnsi="Segoe UI" w:cs="Segoe UI"/>
          <w:u w:val="single"/>
        </w:rPr>
        <w:t>Warwickshire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62716">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 xml:space="preserve">orth </w:t>
      </w:r>
      <w:r w:rsidR="00DB466D">
        <w:rPr>
          <w:rFonts w:ascii="Segoe UI" w:hAnsi="Segoe UI" w:cs="Segoe UI"/>
        </w:rPr>
        <w:t>Warwickshire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6271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D62716">
        <w:rPr>
          <w:rFonts w:ascii="Segoe UI" w:hAnsi="Segoe UI" w:cs="Segoe UI"/>
        </w:rPr>
        <w:t xml:space="preserve">, </w:t>
      </w:r>
      <w:r w:rsidR="00815D2B">
        <w:rPr>
          <w:rFonts w:ascii="Segoe UI" w:hAnsi="Segoe UI" w:cs="Segoe UI"/>
        </w:rPr>
        <w:t xml:space="preserve">Transport &amp; Storage, </w:t>
      </w:r>
      <w:r w:rsidR="00DB466D">
        <w:rPr>
          <w:rFonts w:ascii="Segoe UI" w:hAnsi="Segoe UI" w:cs="Segoe UI"/>
        </w:rPr>
        <w:t>Retail</w:t>
      </w:r>
      <w:r w:rsidR="00D62716">
        <w:rPr>
          <w:rFonts w:ascii="Segoe UI" w:hAnsi="Segoe UI" w:cs="Segoe UI"/>
        </w:rPr>
        <w:t xml:space="preserve"> and </w:t>
      </w:r>
      <w:r w:rsidR="00815D2B">
        <w:rPr>
          <w:rFonts w:ascii="Segoe UI" w:hAnsi="Segoe UI" w:cs="Segoe UI"/>
        </w:rPr>
        <w:t>Business Administration &amp; Support</w:t>
      </w:r>
      <w:r w:rsidR="00D62716">
        <w:rPr>
          <w:rFonts w:ascii="Segoe UI" w:hAnsi="Segoe UI" w:cs="Segoe UI"/>
        </w:rPr>
        <w:t xml:space="preserve"> Services</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B466D">
        <w:rPr>
          <w:rFonts w:ascii="Segoe UI" w:hAnsi="Segoe UI" w:cs="Segoe UI"/>
        </w:rPr>
        <w:t>16.2</w:t>
      </w:r>
      <w:r>
        <w:rPr>
          <w:rFonts w:ascii="Segoe UI" w:hAnsi="Segoe UI" w:cs="Segoe UI"/>
        </w:rPr>
        <w:t>%</w:t>
      </w:r>
      <w:r w:rsidR="00DB466D">
        <w:rPr>
          <w:rFonts w:ascii="Segoe UI" w:hAnsi="Segoe UI" w:cs="Segoe UI"/>
        </w:rPr>
        <w:t>, 16.2</w:t>
      </w:r>
      <w:r w:rsidR="004F47CB">
        <w:rPr>
          <w:rFonts w:ascii="Segoe UI" w:hAnsi="Segoe UI" w:cs="Segoe UI"/>
        </w:rPr>
        <w:t>%, 9</w:t>
      </w:r>
      <w:r w:rsidR="00D62716">
        <w:rPr>
          <w:rFonts w:ascii="Segoe UI" w:hAnsi="Segoe UI" w:cs="Segoe UI"/>
        </w:rPr>
        <w:t>.5%</w:t>
      </w:r>
      <w:r w:rsidR="00815D2B">
        <w:rPr>
          <w:rFonts w:ascii="Segoe UI" w:hAnsi="Segoe UI" w:cs="Segoe UI"/>
        </w:rPr>
        <w:t xml:space="preserve"> </w:t>
      </w:r>
      <w:r w:rsidR="00D62716">
        <w:rPr>
          <w:rFonts w:ascii="Segoe UI" w:hAnsi="Segoe UI" w:cs="Segoe UI"/>
        </w:rPr>
        <w:t xml:space="preserve">and </w:t>
      </w:r>
      <w:r w:rsidR="004F47CB">
        <w:rPr>
          <w:rFonts w:ascii="Segoe UI" w:hAnsi="Segoe UI" w:cs="Segoe UI"/>
        </w:rPr>
        <w:t>9</w:t>
      </w:r>
      <w:r w:rsidR="00D62716">
        <w:rPr>
          <w:rFonts w:ascii="Segoe UI" w:hAnsi="Segoe UI" w:cs="Segoe UI"/>
        </w:rPr>
        <w:t>.5%</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the</w:t>
      </w:r>
      <w:r w:rsidR="00AC66D8">
        <w:rPr>
          <w:rFonts w:ascii="Segoe UI" w:hAnsi="Segoe UI" w:cs="Segoe UI"/>
        </w:rPr>
        <w:t>s</w:t>
      </w:r>
      <w:r w:rsidR="00D62716">
        <w:rPr>
          <w:rFonts w:ascii="Segoe UI" w:hAnsi="Segoe UI" w:cs="Segoe UI"/>
        </w:rPr>
        <w:t>e</w:t>
      </w:r>
      <w:r w:rsidR="00AC66D8">
        <w:rPr>
          <w:rFonts w:ascii="Segoe UI" w:hAnsi="Segoe UI" w:cs="Segoe UI"/>
        </w:rPr>
        <w:t xml:space="preserve"> sector</w:t>
      </w:r>
      <w:r w:rsidR="00D6271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4F47CB">
        <w:rPr>
          <w:rFonts w:ascii="Segoe UI" w:hAnsi="Segoe UI" w:cs="Segoe UI"/>
        </w:rPr>
        <w:t>Warwickshire</w:t>
      </w:r>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Accommodation &amp; Food Services, Transport &amp; Storage, Retail</w:t>
      </w:r>
      <w:r w:rsidR="00D62716">
        <w:rPr>
          <w:rFonts w:ascii="Segoe UI" w:hAnsi="Segoe UI" w:cs="Segoe UI"/>
        </w:rPr>
        <w:t xml:space="preserve"> and </w:t>
      </w:r>
      <w:r w:rsidR="00815D2B">
        <w:rPr>
          <w:rFonts w:ascii="Segoe UI" w:hAnsi="Segoe UI" w:cs="Segoe UI"/>
        </w:rPr>
        <w:t>Education</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4F47CB">
        <w:rPr>
          <w:rFonts w:ascii="Segoe UI" w:hAnsi="Segoe UI" w:cs="Segoe UI"/>
        </w:rPr>
        <w:t>17.3</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4F47CB">
        <w:rPr>
          <w:rFonts w:ascii="Segoe UI" w:hAnsi="Segoe UI" w:cs="Segoe UI"/>
        </w:rPr>
        <w:t>13.5</w:t>
      </w:r>
      <w:r w:rsidR="0098799B">
        <w:rPr>
          <w:rFonts w:ascii="Segoe UI" w:hAnsi="Segoe UI" w:cs="Segoe UI"/>
        </w:rPr>
        <w:t>%</w:t>
      </w:r>
      <w:r w:rsidR="00815D2B">
        <w:rPr>
          <w:rFonts w:ascii="Segoe UI" w:hAnsi="Segoe UI" w:cs="Segoe UI"/>
        </w:rPr>
        <w:t>, 1</w:t>
      </w:r>
      <w:r w:rsidR="004F47CB">
        <w:rPr>
          <w:rFonts w:ascii="Segoe UI" w:hAnsi="Segoe UI" w:cs="Segoe UI"/>
        </w:rPr>
        <w:t>1.5%</w:t>
      </w:r>
      <w:r w:rsidR="0098799B">
        <w:rPr>
          <w:rFonts w:ascii="Segoe UI" w:hAnsi="Segoe UI" w:cs="Segoe UI"/>
        </w:rPr>
        <w:t xml:space="preserve"> and 1</w:t>
      </w:r>
      <w:r w:rsidR="00B9254C">
        <w:rPr>
          <w:rFonts w:ascii="Segoe UI" w:hAnsi="Segoe UI" w:cs="Segoe UI"/>
        </w:rPr>
        <w:t>1</w:t>
      </w:r>
      <w:r w:rsidR="00815D2B">
        <w:rPr>
          <w:rFonts w:ascii="Segoe UI" w:hAnsi="Segoe UI" w:cs="Segoe UI"/>
        </w:rPr>
        <w:t>.5</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 xml:space="preserve">orth </w:t>
      </w:r>
      <w:r w:rsidR="00B9254C">
        <w:rPr>
          <w:rFonts w:ascii="Segoe UI" w:hAnsi="Segoe UI" w:cs="Segoe UI"/>
          <w:u w:val="single"/>
        </w:rPr>
        <w:t>Warwickshire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B9254C">
        <w:rPr>
          <w:rFonts w:ascii="Segoe UI" w:hAnsi="Segoe UI" w:cs="Segoe UI"/>
        </w:rPr>
        <w:t>Warwickshire</w:t>
      </w:r>
      <w:r w:rsidR="007301BD">
        <w:rPr>
          <w:rFonts w:ascii="Segoe UI" w:hAnsi="Segoe UI" w:cs="Segoe UI"/>
        </w:rPr>
        <w:t xml:space="preserve"> are</w:t>
      </w:r>
      <w:r w:rsidR="008E7679">
        <w:rPr>
          <w:rFonts w:ascii="Segoe UI" w:hAnsi="Segoe UI" w:cs="Segoe UI"/>
        </w:rPr>
        <w:t xml:space="preserve"> </w:t>
      </w:r>
      <w:r w:rsidR="00B9254C">
        <w:rPr>
          <w:rFonts w:ascii="Segoe UI" w:hAnsi="Segoe UI" w:cs="Segoe UI"/>
        </w:rPr>
        <w:t xml:space="preserve">Construction, </w:t>
      </w:r>
      <w:r w:rsidR="00815D2B">
        <w:rPr>
          <w:rFonts w:ascii="Segoe UI" w:hAnsi="Segoe UI" w:cs="Segoe UI"/>
        </w:rPr>
        <w:t>Professional, Scientific &amp; Technical</w:t>
      </w:r>
      <w:r w:rsidR="00C12824">
        <w:rPr>
          <w:rFonts w:ascii="Segoe UI" w:hAnsi="Segoe UI" w:cs="Segoe UI"/>
        </w:rPr>
        <w:t xml:space="preserve"> and</w:t>
      </w:r>
      <w:r w:rsidR="008E7679">
        <w:rPr>
          <w:rFonts w:ascii="Segoe UI" w:hAnsi="Segoe UI" w:cs="Segoe UI"/>
        </w:rPr>
        <w:t xml:space="preserve"> </w:t>
      </w:r>
      <w:r w:rsidR="00815D2B">
        <w:rPr>
          <w:rFonts w:ascii="Segoe UI" w:hAnsi="Segoe UI" w:cs="Segoe UI"/>
        </w:rPr>
        <w:t>Business Administration &amp; Support Services</w:t>
      </w:r>
      <w:r w:rsidR="007726D8">
        <w:rPr>
          <w:rFonts w:ascii="Segoe UI" w:hAnsi="Segoe UI" w:cs="Segoe UI"/>
        </w:rPr>
        <w:t xml:space="preserve"> </w:t>
      </w:r>
      <w:r w:rsidR="009264D1">
        <w:rPr>
          <w:rFonts w:ascii="Segoe UI" w:hAnsi="Segoe UI" w:cs="Segoe UI"/>
        </w:rPr>
        <w:t xml:space="preserve">with </w:t>
      </w:r>
      <w:r w:rsidR="00B9254C">
        <w:rPr>
          <w:rFonts w:ascii="Segoe UI" w:hAnsi="Segoe UI" w:cs="Segoe UI"/>
        </w:rPr>
        <w:t>14.0</w:t>
      </w:r>
      <w:r>
        <w:rPr>
          <w:rFonts w:ascii="Segoe UI" w:hAnsi="Segoe UI" w:cs="Segoe UI"/>
        </w:rPr>
        <w:t>%</w:t>
      </w:r>
      <w:r w:rsidR="00250EDD">
        <w:rPr>
          <w:rFonts w:ascii="Segoe UI" w:hAnsi="Segoe UI" w:cs="Segoe UI"/>
        </w:rPr>
        <w:t>,</w:t>
      </w:r>
      <w:r w:rsidR="00810505">
        <w:rPr>
          <w:rFonts w:ascii="Segoe UI" w:hAnsi="Segoe UI" w:cs="Segoe UI"/>
        </w:rPr>
        <w:t xml:space="preserve"> 1</w:t>
      </w:r>
      <w:r w:rsidR="00B9254C">
        <w:rPr>
          <w:rFonts w:ascii="Segoe UI" w:hAnsi="Segoe UI" w:cs="Segoe UI"/>
        </w:rPr>
        <w:t>3.1</w:t>
      </w:r>
      <w:r w:rsidR="00266A34">
        <w:rPr>
          <w:rFonts w:ascii="Segoe UI" w:hAnsi="Segoe UI" w:cs="Segoe UI"/>
        </w:rPr>
        <w:t xml:space="preserve">% and </w:t>
      </w:r>
      <w:r w:rsidR="00B9254C">
        <w:rPr>
          <w:rFonts w:ascii="Segoe UI" w:hAnsi="Segoe UI" w:cs="Segoe UI"/>
        </w:rPr>
        <w:t>9.4</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667B"/>
    <w:rsid w:val="00377BE0"/>
    <w:rsid w:val="00383CA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10BE4"/>
    <w:rsid w:val="00512126"/>
    <w:rsid w:val="005211AC"/>
    <w:rsid w:val="00524321"/>
    <w:rsid w:val="0052687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D42F1"/>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42A3A"/>
    <w:rsid w:val="008464A2"/>
    <w:rsid w:val="00853E08"/>
    <w:rsid w:val="00861E17"/>
    <w:rsid w:val="00867BF8"/>
    <w:rsid w:val="00884EF2"/>
    <w:rsid w:val="00885A38"/>
    <w:rsid w:val="00886701"/>
    <w:rsid w:val="0089195B"/>
    <w:rsid w:val="008A05C4"/>
    <w:rsid w:val="008B2D2D"/>
    <w:rsid w:val="008B61D0"/>
    <w:rsid w:val="008C2804"/>
    <w:rsid w:val="008C2AD5"/>
    <w:rsid w:val="008C37E5"/>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6258"/>
    <w:rsid w:val="00974D4B"/>
    <w:rsid w:val="0098799B"/>
    <w:rsid w:val="009902B8"/>
    <w:rsid w:val="00990CEF"/>
    <w:rsid w:val="0099362A"/>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D04520"/>
    <w:rsid w:val="00D05EE7"/>
    <w:rsid w:val="00D1059A"/>
    <w:rsid w:val="00D170C3"/>
    <w:rsid w:val="00D226DF"/>
    <w:rsid w:val="00D307D8"/>
    <w:rsid w:val="00D42D18"/>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North Warwickshire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65.269490127589378</c:v>
                </c:pt>
                <c:pt idx="2">
                  <c:v>65.154595920475089</c:v>
                </c:pt>
                <c:pt idx="3">
                  <c:v>64.694803940506091</c:v>
                </c:pt>
                <c:pt idx="4">
                  <c:v>64.255792221183896</c:v>
                </c:pt>
                <c:pt idx="5">
                  <c:v>63.818067612620595</c:v>
                </c:pt>
                <c:pt idx="6">
                  <c:v>63.188438414300869</c:v>
                </c:pt>
                <c:pt idx="7">
                  <c:v>62.613693072972843</c:v>
                </c:pt>
                <c:pt idx="8">
                  <c:v>62.114078913656165</c:v>
                </c:pt>
                <c:pt idx="9">
                  <c:v>61.822671871265833</c:v>
                </c:pt>
                <c:pt idx="10">
                  <c:v>61.415030145743991</c:v>
                </c:pt>
                <c:pt idx="11">
                  <c:v>61.15438043359503</c:v>
                </c:pt>
              </c:numCache>
            </c:numRef>
          </c:val>
        </c:ser>
        <c:marker val="1"/>
        <c:axId val="174150784"/>
        <c:axId val="174152320"/>
      </c:lineChart>
      <c:catAx>
        <c:axId val="174150784"/>
        <c:scaling>
          <c:orientation val="minMax"/>
        </c:scaling>
        <c:axPos val="b"/>
        <c:numFmt formatCode="General" sourceLinked="1"/>
        <c:tickLblPos val="nextTo"/>
        <c:txPr>
          <a:bodyPr/>
          <a:lstStyle/>
          <a:p>
            <a:pPr>
              <a:defRPr sz="900"/>
            </a:pPr>
            <a:endParaRPr lang="en-US"/>
          </a:p>
        </c:txPr>
        <c:crossAx val="174152320"/>
        <c:crosses val="autoZero"/>
        <c:auto val="1"/>
        <c:lblAlgn val="ctr"/>
        <c:lblOffset val="100"/>
      </c:catAx>
      <c:valAx>
        <c:axId val="174152320"/>
        <c:scaling>
          <c:orientation val="minMax"/>
        </c:scaling>
        <c:axPos val="l"/>
        <c:majorGridlines/>
        <c:title>
          <c:tx>
            <c:rich>
              <a:bodyPr rot="0" vert="horz"/>
              <a:lstStyle/>
              <a:p>
                <a:pPr>
                  <a:defRPr/>
                </a:pPr>
                <a:r>
                  <a:rPr lang="en-US"/>
                  <a:t>%</a:t>
                </a:r>
              </a:p>
            </c:rich>
          </c:tx>
          <c:layout/>
        </c:title>
        <c:numFmt formatCode="General" sourceLinked="1"/>
        <c:tickLblPos val="nextTo"/>
        <c:crossAx val="1741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Warwickshire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c:v>
                </c:pt>
                <c:pt idx="1">
                  <c:v>0.7</c:v>
                </c:pt>
                <c:pt idx="2">
                  <c:v>1.2</c:v>
                </c:pt>
              </c:numCache>
            </c:numRef>
          </c:val>
        </c:ser>
        <c:axId val="175137536"/>
        <c:axId val="1751390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137536"/>
        <c:axId val="175139072"/>
      </c:lineChart>
      <c:catAx>
        <c:axId val="175137536"/>
        <c:scaling>
          <c:orientation val="minMax"/>
        </c:scaling>
        <c:axPos val="b"/>
        <c:numFmt formatCode="General" sourceLinked="1"/>
        <c:tickLblPos val="nextTo"/>
        <c:txPr>
          <a:bodyPr/>
          <a:lstStyle/>
          <a:p>
            <a:pPr>
              <a:defRPr sz="800"/>
            </a:pPr>
            <a:endParaRPr lang="en-US"/>
          </a:p>
        </c:txPr>
        <c:crossAx val="175139072"/>
        <c:crosses val="autoZero"/>
        <c:auto val="1"/>
        <c:lblAlgn val="ctr"/>
        <c:lblOffset val="100"/>
      </c:catAx>
      <c:valAx>
        <c:axId val="175139072"/>
        <c:scaling>
          <c:orientation val="minMax"/>
        </c:scaling>
        <c:axPos val="l"/>
        <c:majorGridlines/>
        <c:title>
          <c:tx>
            <c:rich>
              <a:bodyPr rot="0" vert="horz"/>
              <a:lstStyle/>
              <a:p>
                <a:pPr>
                  <a:defRPr/>
                </a:pPr>
                <a:r>
                  <a:rPr lang="en-US"/>
                  <a:t>%</a:t>
                </a:r>
              </a:p>
            </c:rich>
          </c:tx>
          <c:layout/>
        </c:title>
        <c:numFmt formatCode="General" sourceLinked="1"/>
        <c:tickLblPos val="nextTo"/>
        <c:crossAx val="175137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Warwickshire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0.40080160320641284</c:v>
                </c:pt>
                <c:pt idx="2">
                  <c:v>0.60120240480961928</c:v>
                </c:pt>
                <c:pt idx="3">
                  <c:v>0.78740157480314965</c:v>
                </c:pt>
                <c:pt idx="4">
                  <c:v>0.8</c:v>
                </c:pt>
                <c:pt idx="5">
                  <c:v>0.78895463510848129</c:v>
                </c:pt>
                <c:pt idx="6">
                  <c:v>0.74626865671641796</c:v>
                </c:pt>
                <c:pt idx="7">
                  <c:v>0.7155635062611807</c:v>
                </c:pt>
                <c:pt idx="8">
                  <c:v>0.69930069930069927</c:v>
                </c:pt>
                <c:pt idx="9">
                  <c:v>0.88809946714031973</c:v>
                </c:pt>
              </c:numCache>
            </c:numRef>
          </c:val>
        </c:ser>
        <c:axId val="175178880"/>
        <c:axId val="1751804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178880"/>
        <c:axId val="175180416"/>
      </c:lineChart>
      <c:catAx>
        <c:axId val="175178880"/>
        <c:scaling>
          <c:orientation val="minMax"/>
        </c:scaling>
        <c:axPos val="b"/>
        <c:numFmt formatCode="General" sourceLinked="1"/>
        <c:tickLblPos val="nextTo"/>
        <c:txPr>
          <a:bodyPr/>
          <a:lstStyle/>
          <a:p>
            <a:pPr>
              <a:defRPr sz="800"/>
            </a:pPr>
            <a:endParaRPr lang="en-US"/>
          </a:p>
        </c:txPr>
        <c:crossAx val="175180416"/>
        <c:crosses val="autoZero"/>
        <c:auto val="1"/>
        <c:lblAlgn val="ctr"/>
        <c:lblOffset val="100"/>
      </c:catAx>
      <c:valAx>
        <c:axId val="175180416"/>
        <c:scaling>
          <c:orientation val="minMax"/>
        </c:scaling>
        <c:axPos val="l"/>
        <c:majorGridlines/>
        <c:title>
          <c:tx>
            <c:rich>
              <a:bodyPr rot="0" vert="horz"/>
              <a:lstStyle/>
              <a:p>
                <a:pPr>
                  <a:defRPr/>
                </a:pPr>
                <a:r>
                  <a:rPr lang="en-US"/>
                  <a:t>%</a:t>
                </a:r>
              </a:p>
            </c:rich>
          </c:tx>
          <c:layout/>
        </c:title>
        <c:numFmt formatCode="General" sourceLinked="1"/>
        <c:tickLblPos val="nextTo"/>
        <c:crossAx val="17517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Warwickshire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13.6</c:v>
                </c:pt>
                <c:pt idx="1">
                  <c:v>15.6</c:v>
                </c:pt>
                <c:pt idx="2">
                  <c:v>14</c:v>
                </c:pt>
              </c:numCache>
            </c:numRef>
          </c:val>
        </c:ser>
        <c:axId val="175220224"/>
        <c:axId val="1752217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220224"/>
        <c:axId val="175221760"/>
      </c:lineChart>
      <c:catAx>
        <c:axId val="175220224"/>
        <c:scaling>
          <c:orientation val="minMax"/>
        </c:scaling>
        <c:axPos val="b"/>
        <c:numFmt formatCode="General" sourceLinked="1"/>
        <c:tickLblPos val="nextTo"/>
        <c:txPr>
          <a:bodyPr/>
          <a:lstStyle/>
          <a:p>
            <a:pPr>
              <a:defRPr sz="800"/>
            </a:pPr>
            <a:endParaRPr lang="en-US"/>
          </a:p>
        </c:txPr>
        <c:crossAx val="175221760"/>
        <c:crosses val="autoZero"/>
        <c:auto val="1"/>
        <c:lblAlgn val="ctr"/>
        <c:lblOffset val="100"/>
      </c:catAx>
      <c:valAx>
        <c:axId val="175221760"/>
        <c:scaling>
          <c:orientation val="minMax"/>
        </c:scaling>
        <c:axPos val="l"/>
        <c:majorGridlines/>
        <c:title>
          <c:tx>
            <c:rich>
              <a:bodyPr rot="0" vert="horz"/>
              <a:lstStyle/>
              <a:p>
                <a:pPr>
                  <a:defRPr/>
                </a:pPr>
                <a:r>
                  <a:rPr lang="en-US"/>
                  <a:t>%</a:t>
                </a:r>
              </a:p>
            </c:rich>
          </c:tx>
          <c:layout/>
        </c:title>
        <c:numFmt formatCode="General" sourceLinked="1"/>
        <c:tickLblPos val="nextTo"/>
        <c:crossAx val="17522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Warwickshire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9.4188376753507015</c:v>
                </c:pt>
                <c:pt idx="2">
                  <c:v>9.0180360721442892</c:v>
                </c:pt>
                <c:pt idx="3">
                  <c:v>8.8582677165354333</c:v>
                </c:pt>
                <c:pt idx="4">
                  <c:v>9.4</c:v>
                </c:pt>
                <c:pt idx="5">
                  <c:v>8.8757396449704142</c:v>
                </c:pt>
                <c:pt idx="6">
                  <c:v>8.2089552238805972</c:v>
                </c:pt>
                <c:pt idx="7">
                  <c:v>8.4078711985688734</c:v>
                </c:pt>
                <c:pt idx="8">
                  <c:v>8.0419580419580416</c:v>
                </c:pt>
                <c:pt idx="9">
                  <c:v>7.9928952042628776</c:v>
                </c:pt>
              </c:numCache>
            </c:numRef>
          </c:val>
        </c:ser>
        <c:axId val="175282048"/>
        <c:axId val="1752835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282048"/>
        <c:axId val="175283584"/>
      </c:lineChart>
      <c:catAx>
        <c:axId val="175282048"/>
        <c:scaling>
          <c:orientation val="minMax"/>
        </c:scaling>
        <c:axPos val="b"/>
        <c:numFmt formatCode="General" sourceLinked="1"/>
        <c:tickLblPos val="nextTo"/>
        <c:txPr>
          <a:bodyPr/>
          <a:lstStyle/>
          <a:p>
            <a:pPr>
              <a:defRPr sz="800"/>
            </a:pPr>
            <a:endParaRPr lang="en-US"/>
          </a:p>
        </c:txPr>
        <c:crossAx val="175283584"/>
        <c:crosses val="autoZero"/>
        <c:auto val="1"/>
        <c:lblAlgn val="ctr"/>
        <c:lblOffset val="100"/>
      </c:catAx>
      <c:valAx>
        <c:axId val="175283584"/>
        <c:scaling>
          <c:orientation val="minMax"/>
        </c:scaling>
        <c:axPos val="l"/>
        <c:majorGridlines/>
        <c:title>
          <c:tx>
            <c:rich>
              <a:bodyPr rot="0" vert="horz"/>
              <a:lstStyle/>
              <a:p>
                <a:pPr>
                  <a:defRPr/>
                </a:pPr>
                <a:r>
                  <a:rPr lang="en-US"/>
                  <a:t>%</a:t>
                </a:r>
              </a:p>
            </c:rich>
          </c:tx>
          <c:layout/>
        </c:title>
        <c:numFmt formatCode="General" sourceLinked="1"/>
        <c:tickLblPos val="nextTo"/>
        <c:crossAx val="175282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Warwickshire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8</c:v>
                </c:pt>
                <c:pt idx="1">
                  <c:v>5.6</c:v>
                </c:pt>
                <c:pt idx="2">
                  <c:v>5</c:v>
                </c:pt>
              </c:numCache>
            </c:numRef>
          </c:val>
        </c:ser>
        <c:axId val="175388928"/>
        <c:axId val="175407104"/>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388928"/>
        <c:axId val="175407104"/>
      </c:lineChart>
      <c:catAx>
        <c:axId val="175388928"/>
        <c:scaling>
          <c:orientation val="minMax"/>
        </c:scaling>
        <c:axPos val="b"/>
        <c:numFmt formatCode="General" sourceLinked="1"/>
        <c:tickLblPos val="nextTo"/>
        <c:txPr>
          <a:bodyPr/>
          <a:lstStyle/>
          <a:p>
            <a:pPr>
              <a:defRPr sz="800"/>
            </a:pPr>
            <a:endParaRPr lang="en-US"/>
          </a:p>
        </c:txPr>
        <c:crossAx val="175407104"/>
        <c:crosses val="autoZero"/>
        <c:auto val="1"/>
        <c:lblAlgn val="ctr"/>
        <c:lblOffset val="100"/>
      </c:catAx>
      <c:valAx>
        <c:axId val="175407104"/>
        <c:scaling>
          <c:orientation val="minMax"/>
        </c:scaling>
        <c:axPos val="l"/>
        <c:majorGridlines/>
        <c:title>
          <c:tx>
            <c:rich>
              <a:bodyPr rot="0" vert="horz"/>
              <a:lstStyle/>
              <a:p>
                <a:pPr>
                  <a:defRPr/>
                </a:pPr>
                <a:r>
                  <a:rPr lang="en-US"/>
                  <a:t>%</a:t>
                </a:r>
              </a:p>
            </c:rich>
          </c:tx>
          <c:layout/>
        </c:title>
        <c:numFmt formatCode="General" sourceLinked="1"/>
        <c:tickLblPos val="nextTo"/>
        <c:crossAx val="175388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Warwickshire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14.829659318637274</c:v>
                </c:pt>
                <c:pt idx="2">
                  <c:v>13.827655310621243</c:v>
                </c:pt>
                <c:pt idx="3">
                  <c:v>13.385826771653543</c:v>
                </c:pt>
                <c:pt idx="4">
                  <c:v>13.8</c:v>
                </c:pt>
                <c:pt idx="5">
                  <c:v>13.806706114398422</c:v>
                </c:pt>
                <c:pt idx="6">
                  <c:v>13.432835820895523</c:v>
                </c:pt>
                <c:pt idx="7">
                  <c:v>14.132379248658319</c:v>
                </c:pt>
                <c:pt idx="8">
                  <c:v>13.811188811188812</c:v>
                </c:pt>
                <c:pt idx="9">
                  <c:v>14.031971580817052</c:v>
                </c:pt>
              </c:numCache>
            </c:numRef>
          </c:val>
        </c:ser>
        <c:axId val="175438464"/>
        <c:axId val="175317376"/>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438464"/>
        <c:axId val="175317376"/>
      </c:lineChart>
      <c:catAx>
        <c:axId val="175438464"/>
        <c:scaling>
          <c:orientation val="minMax"/>
        </c:scaling>
        <c:axPos val="b"/>
        <c:numFmt formatCode="General" sourceLinked="1"/>
        <c:tickLblPos val="nextTo"/>
        <c:txPr>
          <a:bodyPr/>
          <a:lstStyle/>
          <a:p>
            <a:pPr>
              <a:defRPr sz="800"/>
            </a:pPr>
            <a:endParaRPr lang="en-US"/>
          </a:p>
        </c:txPr>
        <c:crossAx val="175317376"/>
        <c:crosses val="autoZero"/>
        <c:auto val="1"/>
        <c:lblAlgn val="ctr"/>
        <c:lblOffset val="100"/>
      </c:catAx>
      <c:valAx>
        <c:axId val="175317376"/>
        <c:scaling>
          <c:orientation val="minMax"/>
        </c:scaling>
        <c:axPos val="l"/>
        <c:majorGridlines/>
        <c:title>
          <c:tx>
            <c:rich>
              <a:bodyPr rot="0" vert="horz"/>
              <a:lstStyle/>
              <a:p>
                <a:pPr>
                  <a:defRPr/>
                </a:pPr>
                <a:r>
                  <a:rPr lang="en-US"/>
                  <a:t>%</a:t>
                </a:r>
              </a:p>
            </c:rich>
          </c:tx>
          <c:layout/>
        </c:title>
        <c:numFmt formatCode="General" sourceLinked="1"/>
        <c:tickLblPos val="nextTo"/>
        <c:crossAx val="175438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Warwickshire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4.5</c:v>
                </c:pt>
                <c:pt idx="1">
                  <c:v>5</c:v>
                </c:pt>
                <c:pt idx="2">
                  <c:v>6</c:v>
                </c:pt>
              </c:numCache>
            </c:numRef>
          </c:val>
        </c:ser>
        <c:axId val="175344640"/>
        <c:axId val="17536281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344640"/>
        <c:axId val="175362816"/>
      </c:lineChart>
      <c:catAx>
        <c:axId val="175344640"/>
        <c:scaling>
          <c:orientation val="minMax"/>
        </c:scaling>
        <c:axPos val="b"/>
        <c:numFmt formatCode="General" sourceLinked="1"/>
        <c:tickLblPos val="nextTo"/>
        <c:txPr>
          <a:bodyPr/>
          <a:lstStyle/>
          <a:p>
            <a:pPr>
              <a:defRPr sz="800"/>
            </a:pPr>
            <a:endParaRPr lang="en-US"/>
          </a:p>
        </c:txPr>
        <c:crossAx val="175362816"/>
        <c:crosses val="autoZero"/>
        <c:auto val="1"/>
        <c:lblAlgn val="ctr"/>
        <c:lblOffset val="100"/>
      </c:catAx>
      <c:valAx>
        <c:axId val="175362816"/>
        <c:scaling>
          <c:orientation val="minMax"/>
        </c:scaling>
        <c:axPos val="l"/>
        <c:majorGridlines/>
        <c:title>
          <c:tx>
            <c:rich>
              <a:bodyPr rot="0" vert="horz"/>
              <a:lstStyle/>
              <a:p>
                <a:pPr>
                  <a:defRPr/>
                </a:pPr>
                <a:r>
                  <a:rPr lang="en-US"/>
                  <a:t>%</a:t>
                </a:r>
              </a:p>
            </c:rich>
          </c:tx>
          <c:layout/>
        </c:title>
        <c:numFmt formatCode="General" sourceLinked="1"/>
        <c:tickLblPos val="nextTo"/>
        <c:crossAx val="1753446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Warwickshire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4.0080160320641278</c:v>
                </c:pt>
                <c:pt idx="2">
                  <c:v>4.2084168336673349</c:v>
                </c:pt>
                <c:pt idx="3">
                  <c:v>4.1338582677165352</c:v>
                </c:pt>
                <c:pt idx="4">
                  <c:v>4.2</c:v>
                </c:pt>
                <c:pt idx="5">
                  <c:v>4.1420118343195265</c:v>
                </c:pt>
                <c:pt idx="6">
                  <c:v>4.2910447761194028</c:v>
                </c:pt>
                <c:pt idx="7">
                  <c:v>4.4722719141323797</c:v>
                </c:pt>
                <c:pt idx="8">
                  <c:v>4.3706293706293708</c:v>
                </c:pt>
                <c:pt idx="9">
                  <c:v>4.2628774422735347</c:v>
                </c:pt>
              </c:numCache>
            </c:numRef>
          </c:val>
        </c:ser>
        <c:axId val="175471616"/>
        <c:axId val="1754816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471616"/>
        <c:axId val="175481600"/>
      </c:lineChart>
      <c:catAx>
        <c:axId val="175471616"/>
        <c:scaling>
          <c:orientation val="minMax"/>
        </c:scaling>
        <c:axPos val="b"/>
        <c:numFmt formatCode="General" sourceLinked="1"/>
        <c:tickLblPos val="nextTo"/>
        <c:txPr>
          <a:bodyPr/>
          <a:lstStyle/>
          <a:p>
            <a:pPr>
              <a:defRPr sz="800"/>
            </a:pPr>
            <a:endParaRPr lang="en-US"/>
          </a:p>
        </c:txPr>
        <c:crossAx val="175481600"/>
        <c:crosses val="autoZero"/>
        <c:auto val="1"/>
        <c:lblAlgn val="ctr"/>
        <c:lblOffset val="100"/>
      </c:catAx>
      <c:valAx>
        <c:axId val="175481600"/>
        <c:scaling>
          <c:orientation val="minMax"/>
        </c:scaling>
        <c:axPos val="l"/>
        <c:majorGridlines/>
        <c:title>
          <c:tx>
            <c:rich>
              <a:bodyPr rot="0" vert="horz"/>
              <a:lstStyle/>
              <a:p>
                <a:pPr>
                  <a:defRPr/>
                </a:pPr>
                <a:r>
                  <a:rPr lang="en-US"/>
                  <a:t>%</a:t>
                </a:r>
              </a:p>
            </c:rich>
          </c:tx>
          <c:layout/>
        </c:title>
        <c:numFmt formatCode="General" sourceLinked="1"/>
        <c:tickLblPos val="nextTo"/>
        <c:crossAx val="175471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Warwickshire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5.7</c:v>
                </c:pt>
                <c:pt idx="1">
                  <c:v>5.6</c:v>
                </c:pt>
                <c:pt idx="2">
                  <c:v>5</c:v>
                </c:pt>
              </c:numCache>
            </c:numRef>
          </c:val>
        </c:ser>
        <c:axId val="175496576"/>
        <c:axId val="175522944"/>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496576"/>
        <c:axId val="175522944"/>
      </c:lineChart>
      <c:catAx>
        <c:axId val="175496576"/>
        <c:scaling>
          <c:orientation val="minMax"/>
        </c:scaling>
        <c:axPos val="b"/>
        <c:numFmt formatCode="General" sourceLinked="1"/>
        <c:tickLblPos val="nextTo"/>
        <c:txPr>
          <a:bodyPr/>
          <a:lstStyle/>
          <a:p>
            <a:pPr>
              <a:defRPr sz="800"/>
            </a:pPr>
            <a:endParaRPr lang="en-US"/>
          </a:p>
        </c:txPr>
        <c:crossAx val="175522944"/>
        <c:crosses val="autoZero"/>
        <c:auto val="1"/>
        <c:lblAlgn val="ctr"/>
        <c:lblOffset val="100"/>
      </c:catAx>
      <c:valAx>
        <c:axId val="175522944"/>
        <c:scaling>
          <c:orientation val="minMax"/>
        </c:scaling>
        <c:axPos val="l"/>
        <c:majorGridlines/>
        <c:title>
          <c:tx>
            <c:rich>
              <a:bodyPr rot="0" vert="horz"/>
              <a:lstStyle/>
              <a:p>
                <a:pPr>
                  <a:defRPr/>
                </a:pPr>
                <a:r>
                  <a:rPr lang="en-US"/>
                  <a:t>%</a:t>
                </a:r>
              </a:p>
            </c:rich>
          </c:tx>
          <c:layout/>
        </c:title>
        <c:numFmt formatCode="General" sourceLinked="1"/>
        <c:tickLblPos val="nextTo"/>
        <c:crossAx val="1754965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Warwickshire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4.408817635270541</c:v>
                </c:pt>
                <c:pt idx="2">
                  <c:v>4.408817635270541</c:v>
                </c:pt>
                <c:pt idx="3">
                  <c:v>4.5275590551181102</c:v>
                </c:pt>
                <c:pt idx="4">
                  <c:v>4.5999999999999996</c:v>
                </c:pt>
                <c:pt idx="5">
                  <c:v>4.3392504930966469</c:v>
                </c:pt>
                <c:pt idx="6">
                  <c:v>4.1044776119402986</c:v>
                </c:pt>
                <c:pt idx="7">
                  <c:v>4.1144901610017888</c:v>
                </c:pt>
                <c:pt idx="8">
                  <c:v>4.0209790209790208</c:v>
                </c:pt>
                <c:pt idx="9">
                  <c:v>3.9076376554174068</c:v>
                </c:pt>
              </c:numCache>
            </c:numRef>
          </c:val>
        </c:ser>
        <c:axId val="175550464"/>
        <c:axId val="17555200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5550464"/>
        <c:axId val="175552000"/>
      </c:lineChart>
      <c:catAx>
        <c:axId val="175550464"/>
        <c:scaling>
          <c:orientation val="minMax"/>
        </c:scaling>
        <c:axPos val="b"/>
        <c:numFmt formatCode="General" sourceLinked="1"/>
        <c:tickLblPos val="nextTo"/>
        <c:txPr>
          <a:bodyPr/>
          <a:lstStyle/>
          <a:p>
            <a:pPr>
              <a:defRPr sz="800"/>
            </a:pPr>
            <a:endParaRPr lang="en-US"/>
          </a:p>
        </c:txPr>
        <c:crossAx val="175552000"/>
        <c:crosses val="autoZero"/>
        <c:auto val="1"/>
        <c:lblAlgn val="ctr"/>
        <c:lblOffset val="100"/>
      </c:catAx>
      <c:valAx>
        <c:axId val="175552000"/>
        <c:scaling>
          <c:orientation val="minMax"/>
        </c:scaling>
        <c:axPos val="l"/>
        <c:majorGridlines/>
        <c:title>
          <c:tx>
            <c:rich>
              <a:bodyPr rot="0" vert="horz"/>
              <a:lstStyle/>
              <a:p>
                <a:pPr>
                  <a:defRPr/>
                </a:pPr>
                <a:r>
                  <a:rPr lang="en-US"/>
                  <a:t>%</a:t>
                </a:r>
              </a:p>
            </c:rich>
          </c:tx>
          <c:layout/>
        </c:title>
        <c:numFmt formatCode="General" sourceLinked="1"/>
        <c:tickLblPos val="nextTo"/>
        <c:crossAx val="17555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North Warwickshire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61.415030145743991</c:v>
                </c:pt>
                <c:pt idx="2">
                  <c:v>61.059976950158664</c:v>
                </c:pt>
                <c:pt idx="3">
                  <c:v>60.668764752163653</c:v>
                </c:pt>
                <c:pt idx="4">
                  <c:v>60.334143854419956</c:v>
                </c:pt>
                <c:pt idx="5">
                  <c:v>60.038782116440174</c:v>
                </c:pt>
                <c:pt idx="6">
                  <c:v>59.822611569217337</c:v>
                </c:pt>
                <c:pt idx="7">
                  <c:v>59.418308371139148</c:v>
                </c:pt>
                <c:pt idx="8">
                  <c:v>59.133141317476543</c:v>
                </c:pt>
                <c:pt idx="9">
                  <c:v>58.74116157717603</c:v>
                </c:pt>
                <c:pt idx="10">
                  <c:v>58.413494836316623</c:v>
                </c:pt>
                <c:pt idx="11">
                  <c:v>58.132433054553822</c:v>
                </c:pt>
                <c:pt idx="12">
                  <c:v>57.885798219039749</c:v>
                </c:pt>
                <c:pt idx="13">
                  <c:v>57.49378251781328</c:v>
                </c:pt>
                <c:pt idx="14">
                  <c:v>57.246564292997704</c:v>
                </c:pt>
                <c:pt idx="15">
                  <c:v>56.831190125556041</c:v>
                </c:pt>
                <c:pt idx="16">
                  <c:v>56.411654249197404</c:v>
                </c:pt>
                <c:pt idx="17">
                  <c:v>56.077590113907604</c:v>
                </c:pt>
                <c:pt idx="18">
                  <c:v>55.779401793113841</c:v>
                </c:pt>
                <c:pt idx="19">
                  <c:v>55.484918165832546</c:v>
                </c:pt>
                <c:pt idx="20">
                  <c:v>55.294876023146344</c:v>
                </c:pt>
                <c:pt idx="21">
                  <c:v>54.990057264177743</c:v>
                </c:pt>
                <c:pt idx="22">
                  <c:v>54.827838172355683</c:v>
                </c:pt>
                <c:pt idx="23">
                  <c:v>54.707299660895949</c:v>
                </c:pt>
                <c:pt idx="24">
                  <c:v>54.652663432869033</c:v>
                </c:pt>
                <c:pt idx="25">
                  <c:v>54.663273760208305</c:v>
                </c:pt>
                <c:pt idx="26">
                  <c:v>54.730288007554293</c:v>
                </c:pt>
              </c:numCache>
            </c:numRef>
          </c:val>
        </c:ser>
        <c:marker val="1"/>
        <c:axId val="143271424"/>
        <c:axId val="143272960"/>
      </c:lineChart>
      <c:catAx>
        <c:axId val="143271424"/>
        <c:scaling>
          <c:orientation val="minMax"/>
        </c:scaling>
        <c:axPos val="b"/>
        <c:numFmt formatCode="General" sourceLinked="1"/>
        <c:tickLblPos val="nextTo"/>
        <c:txPr>
          <a:bodyPr/>
          <a:lstStyle/>
          <a:p>
            <a:pPr>
              <a:defRPr sz="900"/>
            </a:pPr>
            <a:endParaRPr lang="en-US"/>
          </a:p>
        </c:txPr>
        <c:crossAx val="143272960"/>
        <c:crosses val="autoZero"/>
        <c:auto val="1"/>
        <c:lblAlgn val="ctr"/>
        <c:lblOffset val="100"/>
      </c:catAx>
      <c:valAx>
        <c:axId val="143272960"/>
        <c:scaling>
          <c:orientation val="minMax"/>
        </c:scaling>
        <c:axPos val="l"/>
        <c:majorGridlines/>
        <c:title>
          <c:tx>
            <c:rich>
              <a:bodyPr rot="0" vert="horz"/>
              <a:lstStyle/>
              <a:p>
                <a:pPr>
                  <a:defRPr/>
                </a:pPr>
                <a:r>
                  <a:rPr lang="en-US"/>
                  <a:t>%</a:t>
                </a:r>
              </a:p>
            </c:rich>
          </c:tx>
          <c:layout/>
        </c:title>
        <c:numFmt formatCode="General" sourceLinked="1"/>
        <c:tickLblPos val="nextTo"/>
        <c:crossAx val="143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Warwickshire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c:v>
                </c:pt>
                <c:pt idx="1">
                  <c:v>10</c:v>
                </c:pt>
                <c:pt idx="2">
                  <c:v>10</c:v>
                </c:pt>
              </c:numCache>
            </c:numRef>
          </c:val>
        </c:ser>
        <c:axId val="175628672"/>
        <c:axId val="1756302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5628672"/>
        <c:axId val="175630208"/>
      </c:lineChart>
      <c:catAx>
        <c:axId val="175628672"/>
        <c:scaling>
          <c:orientation val="minMax"/>
        </c:scaling>
        <c:axPos val="b"/>
        <c:numFmt formatCode="General" sourceLinked="1"/>
        <c:tickLblPos val="nextTo"/>
        <c:txPr>
          <a:bodyPr/>
          <a:lstStyle/>
          <a:p>
            <a:pPr>
              <a:defRPr sz="800"/>
            </a:pPr>
            <a:endParaRPr lang="en-US"/>
          </a:p>
        </c:txPr>
        <c:crossAx val="175630208"/>
        <c:crosses val="autoZero"/>
        <c:auto val="1"/>
        <c:lblAlgn val="ctr"/>
        <c:lblOffset val="100"/>
      </c:catAx>
      <c:valAx>
        <c:axId val="175630208"/>
        <c:scaling>
          <c:orientation val="minMax"/>
        </c:scaling>
        <c:axPos val="l"/>
        <c:majorGridlines/>
        <c:title>
          <c:tx>
            <c:rich>
              <a:bodyPr rot="0" vert="horz"/>
              <a:lstStyle/>
              <a:p>
                <a:pPr>
                  <a:defRPr/>
                </a:pPr>
                <a:r>
                  <a:rPr lang="en-US"/>
                  <a:t>%</a:t>
                </a:r>
              </a:p>
            </c:rich>
          </c:tx>
          <c:layout/>
        </c:title>
        <c:numFmt formatCode="General" sourceLinked="1"/>
        <c:tickLblPos val="nextTo"/>
        <c:crossAx val="17562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Warwickshire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8.0160320641282556</c:v>
                </c:pt>
                <c:pt idx="2">
                  <c:v>7.8156312625250504</c:v>
                </c:pt>
                <c:pt idx="3">
                  <c:v>7.8740157480314963</c:v>
                </c:pt>
                <c:pt idx="4">
                  <c:v>8.1999999999999993</c:v>
                </c:pt>
                <c:pt idx="5">
                  <c:v>8.0867850098619325</c:v>
                </c:pt>
                <c:pt idx="6">
                  <c:v>7.2761194029850742</c:v>
                </c:pt>
                <c:pt idx="7">
                  <c:v>7.1556350626118066</c:v>
                </c:pt>
                <c:pt idx="8">
                  <c:v>6.6433566433566433</c:v>
                </c:pt>
                <c:pt idx="9">
                  <c:v>6.571936056838366</c:v>
                </c:pt>
              </c:numCache>
            </c:numRef>
          </c:val>
        </c:ser>
        <c:axId val="175665920"/>
        <c:axId val="17566745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5665920"/>
        <c:axId val="175667456"/>
      </c:lineChart>
      <c:catAx>
        <c:axId val="175665920"/>
        <c:scaling>
          <c:orientation val="minMax"/>
        </c:scaling>
        <c:axPos val="b"/>
        <c:numFmt formatCode="General" sourceLinked="1"/>
        <c:tickLblPos val="nextTo"/>
        <c:txPr>
          <a:bodyPr/>
          <a:lstStyle/>
          <a:p>
            <a:pPr>
              <a:defRPr sz="800"/>
            </a:pPr>
            <a:endParaRPr lang="en-US"/>
          </a:p>
        </c:txPr>
        <c:crossAx val="175667456"/>
        <c:crosses val="autoZero"/>
        <c:auto val="1"/>
        <c:lblAlgn val="ctr"/>
        <c:lblOffset val="100"/>
      </c:catAx>
      <c:valAx>
        <c:axId val="175667456"/>
        <c:scaling>
          <c:orientation val="minMax"/>
        </c:scaling>
        <c:axPos val="l"/>
        <c:majorGridlines/>
        <c:title>
          <c:tx>
            <c:rich>
              <a:bodyPr rot="0" vert="horz"/>
              <a:lstStyle/>
              <a:p>
                <a:pPr>
                  <a:defRPr/>
                </a:pPr>
                <a:r>
                  <a:rPr lang="en-US"/>
                  <a:t>%</a:t>
                </a:r>
              </a:p>
            </c:rich>
          </c:tx>
          <c:layout/>
        </c:title>
        <c:numFmt formatCode="General" sourceLinked="1"/>
        <c:tickLblPos val="nextTo"/>
        <c:crossAx val="175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Warwickshire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20.5</c:v>
                </c:pt>
                <c:pt idx="1">
                  <c:v>22.2</c:v>
                </c:pt>
                <c:pt idx="2">
                  <c:v>16</c:v>
                </c:pt>
              </c:numCache>
            </c:numRef>
          </c:val>
        </c:ser>
        <c:axId val="175719552"/>
        <c:axId val="17572108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layout/>
        </c:title>
        <c:numFmt formatCode="General" sourceLinked="1"/>
        <c:tickLblPos val="nextTo"/>
        <c:crossAx val="175719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Warwickshire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7.4148296593186371</c:v>
                </c:pt>
                <c:pt idx="2">
                  <c:v>6.8136272545090177</c:v>
                </c:pt>
                <c:pt idx="3">
                  <c:v>6.6929133858267713</c:v>
                </c:pt>
                <c:pt idx="4">
                  <c:v>6.4</c:v>
                </c:pt>
                <c:pt idx="5">
                  <c:v>6.9033530571992108</c:v>
                </c:pt>
                <c:pt idx="6">
                  <c:v>6.9029850746268657</c:v>
                </c:pt>
                <c:pt idx="7">
                  <c:v>6.7978533094812166</c:v>
                </c:pt>
                <c:pt idx="8">
                  <c:v>7.1678321678321675</c:v>
                </c:pt>
                <c:pt idx="9">
                  <c:v>7.1047957371225579</c:v>
                </c:pt>
              </c:numCache>
            </c:numRef>
          </c:val>
        </c:ser>
        <c:axId val="175748608"/>
        <c:axId val="17575014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5748608"/>
        <c:axId val="175750144"/>
      </c:lineChart>
      <c:catAx>
        <c:axId val="175748608"/>
        <c:scaling>
          <c:orientation val="minMax"/>
        </c:scaling>
        <c:axPos val="b"/>
        <c:numFmt formatCode="General" sourceLinked="1"/>
        <c:tickLblPos val="nextTo"/>
        <c:txPr>
          <a:bodyPr/>
          <a:lstStyle/>
          <a:p>
            <a:pPr>
              <a:defRPr sz="800"/>
            </a:pPr>
            <a:endParaRPr lang="en-US"/>
          </a:p>
        </c:txPr>
        <c:crossAx val="175750144"/>
        <c:crosses val="autoZero"/>
        <c:auto val="1"/>
        <c:lblAlgn val="ctr"/>
        <c:lblOffset val="100"/>
      </c:catAx>
      <c:valAx>
        <c:axId val="175750144"/>
        <c:scaling>
          <c:orientation val="minMax"/>
        </c:scaling>
        <c:axPos val="l"/>
        <c:majorGridlines/>
        <c:title>
          <c:tx>
            <c:rich>
              <a:bodyPr rot="0" vert="horz"/>
              <a:lstStyle/>
              <a:p>
                <a:pPr>
                  <a:defRPr/>
                </a:pPr>
                <a:r>
                  <a:rPr lang="en-US"/>
                  <a:t>%</a:t>
                </a:r>
              </a:p>
            </c:rich>
          </c:tx>
          <c:layout/>
        </c:title>
        <c:numFmt formatCode="General" sourceLinked="1"/>
        <c:tickLblPos val="nextTo"/>
        <c:crossAx val="175748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Warwickshire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6.8</c:v>
                </c:pt>
                <c:pt idx="1">
                  <c:v>7.8</c:v>
                </c:pt>
                <c:pt idx="2">
                  <c:v>7</c:v>
                </c:pt>
              </c:numCache>
            </c:numRef>
          </c:val>
        </c:ser>
        <c:axId val="175802240"/>
        <c:axId val="1758037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5802240"/>
        <c:axId val="175803776"/>
      </c:lineChart>
      <c:catAx>
        <c:axId val="175802240"/>
        <c:scaling>
          <c:orientation val="minMax"/>
        </c:scaling>
        <c:axPos val="b"/>
        <c:numFmt formatCode="General" sourceLinked="1"/>
        <c:tickLblPos val="nextTo"/>
        <c:txPr>
          <a:bodyPr/>
          <a:lstStyle/>
          <a:p>
            <a:pPr>
              <a:defRPr sz="800"/>
            </a:pPr>
            <a:endParaRPr lang="en-US"/>
          </a:p>
        </c:txPr>
        <c:crossAx val="175803776"/>
        <c:crosses val="autoZero"/>
        <c:auto val="1"/>
        <c:lblAlgn val="ctr"/>
        <c:lblOffset val="100"/>
      </c:catAx>
      <c:valAx>
        <c:axId val="175803776"/>
        <c:scaling>
          <c:orientation val="minMax"/>
        </c:scaling>
        <c:axPos val="l"/>
        <c:majorGridlines/>
        <c:title>
          <c:tx>
            <c:rich>
              <a:bodyPr rot="0" vert="horz"/>
              <a:lstStyle/>
              <a:p>
                <a:pPr>
                  <a:defRPr/>
                </a:pPr>
                <a:r>
                  <a:rPr lang="en-US"/>
                  <a:t>%</a:t>
                </a:r>
              </a:p>
            </c:rich>
          </c:tx>
          <c:layout/>
        </c:title>
        <c:numFmt formatCode="General" sourceLinked="1"/>
        <c:tickLblPos val="nextTo"/>
        <c:crossAx val="175802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Warwickshire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6.2124248496993992</c:v>
                </c:pt>
                <c:pt idx="2">
                  <c:v>6.8136272545090177</c:v>
                </c:pt>
                <c:pt idx="3">
                  <c:v>7.0866141732283463</c:v>
                </c:pt>
                <c:pt idx="4">
                  <c:v>5.8</c:v>
                </c:pt>
                <c:pt idx="5">
                  <c:v>5.7199211045364891</c:v>
                </c:pt>
                <c:pt idx="6">
                  <c:v>6.5298507462686564</c:v>
                </c:pt>
                <c:pt idx="7">
                  <c:v>6.2611806797853307</c:v>
                </c:pt>
                <c:pt idx="8">
                  <c:v>5.9440559440559442</c:v>
                </c:pt>
                <c:pt idx="9">
                  <c:v>5.6838365896980463</c:v>
                </c:pt>
              </c:numCache>
            </c:numRef>
          </c:val>
        </c:ser>
        <c:axId val="175917312"/>
        <c:axId val="17592729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5917312"/>
        <c:axId val="175927296"/>
      </c:lineChart>
      <c:catAx>
        <c:axId val="175917312"/>
        <c:scaling>
          <c:orientation val="minMax"/>
        </c:scaling>
        <c:axPos val="b"/>
        <c:numFmt formatCode="General" sourceLinked="1"/>
        <c:tickLblPos val="nextTo"/>
        <c:txPr>
          <a:bodyPr/>
          <a:lstStyle/>
          <a:p>
            <a:pPr>
              <a:defRPr sz="800"/>
            </a:pPr>
            <a:endParaRPr lang="en-US"/>
          </a:p>
        </c:txPr>
        <c:crossAx val="175927296"/>
        <c:crosses val="autoZero"/>
        <c:auto val="1"/>
        <c:lblAlgn val="ctr"/>
        <c:lblOffset val="100"/>
      </c:catAx>
      <c:valAx>
        <c:axId val="175927296"/>
        <c:scaling>
          <c:orientation val="minMax"/>
        </c:scaling>
        <c:axPos val="l"/>
        <c:majorGridlines/>
        <c:title>
          <c:tx>
            <c:rich>
              <a:bodyPr rot="0" vert="horz"/>
              <a:lstStyle/>
              <a:p>
                <a:pPr>
                  <a:defRPr/>
                </a:pPr>
                <a:r>
                  <a:rPr lang="en-US"/>
                  <a:t>%</a:t>
                </a:r>
              </a:p>
            </c:rich>
          </c:tx>
          <c:layout/>
        </c:title>
        <c:numFmt formatCode="General" sourceLinked="1"/>
        <c:tickLblPos val="nextTo"/>
        <c:crossAx val="175917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Warwickshire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2.2999999999999998</c:v>
                </c:pt>
                <c:pt idx="1">
                  <c:v>2.2000000000000002</c:v>
                </c:pt>
                <c:pt idx="2">
                  <c:v>2</c:v>
                </c:pt>
              </c:numCache>
            </c:numRef>
          </c:val>
        </c:ser>
        <c:axId val="175839872"/>
        <c:axId val="175862144"/>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5839872"/>
        <c:axId val="175862144"/>
      </c:lineChart>
      <c:catAx>
        <c:axId val="175839872"/>
        <c:scaling>
          <c:orientation val="minMax"/>
        </c:scaling>
        <c:axPos val="b"/>
        <c:numFmt formatCode="General" sourceLinked="1"/>
        <c:tickLblPos val="nextTo"/>
        <c:txPr>
          <a:bodyPr/>
          <a:lstStyle/>
          <a:p>
            <a:pPr>
              <a:defRPr sz="800"/>
            </a:pPr>
            <a:endParaRPr lang="en-US"/>
          </a:p>
        </c:txPr>
        <c:crossAx val="175862144"/>
        <c:crosses val="autoZero"/>
        <c:auto val="1"/>
        <c:lblAlgn val="ctr"/>
        <c:lblOffset val="100"/>
      </c:catAx>
      <c:valAx>
        <c:axId val="175862144"/>
        <c:scaling>
          <c:orientation val="minMax"/>
        </c:scaling>
        <c:axPos val="l"/>
        <c:majorGridlines/>
        <c:title>
          <c:tx>
            <c:rich>
              <a:bodyPr rot="0" vert="horz"/>
              <a:lstStyle/>
              <a:p>
                <a:pPr>
                  <a:defRPr/>
                </a:pPr>
                <a:r>
                  <a:rPr lang="en-US"/>
                  <a:t>%</a:t>
                </a:r>
              </a:p>
            </c:rich>
          </c:tx>
          <c:layout/>
        </c:title>
        <c:numFmt formatCode="General" sourceLinked="1"/>
        <c:tickLblPos val="nextTo"/>
        <c:crossAx val="175839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Warwickshire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4.408817635270541</c:v>
                </c:pt>
                <c:pt idx="2">
                  <c:v>5.0100200400801604</c:v>
                </c:pt>
                <c:pt idx="3">
                  <c:v>4.5275590551181102</c:v>
                </c:pt>
                <c:pt idx="4">
                  <c:v>4.8</c:v>
                </c:pt>
                <c:pt idx="5">
                  <c:v>4.7337278106508878</c:v>
                </c:pt>
                <c:pt idx="6">
                  <c:v>4.8507462686567164</c:v>
                </c:pt>
                <c:pt idx="7">
                  <c:v>4.8300536672629697</c:v>
                </c:pt>
                <c:pt idx="8">
                  <c:v>5.06993006993007</c:v>
                </c:pt>
                <c:pt idx="9">
                  <c:v>4.9733570159857905</c:v>
                </c:pt>
              </c:numCache>
            </c:numRef>
          </c:val>
        </c:ser>
        <c:axId val="175881600"/>
        <c:axId val="17595712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5881600"/>
        <c:axId val="175957120"/>
      </c:lineChart>
      <c:catAx>
        <c:axId val="175881600"/>
        <c:scaling>
          <c:orientation val="minMax"/>
        </c:scaling>
        <c:axPos val="b"/>
        <c:numFmt formatCode="General" sourceLinked="1"/>
        <c:tickLblPos val="nextTo"/>
        <c:txPr>
          <a:bodyPr/>
          <a:lstStyle/>
          <a:p>
            <a:pPr>
              <a:defRPr sz="800"/>
            </a:pPr>
            <a:endParaRPr lang="en-US"/>
          </a:p>
        </c:txPr>
        <c:crossAx val="175957120"/>
        <c:crosses val="autoZero"/>
        <c:auto val="1"/>
        <c:lblAlgn val="ctr"/>
        <c:lblOffset val="100"/>
      </c:catAx>
      <c:valAx>
        <c:axId val="175957120"/>
        <c:scaling>
          <c:orientation val="minMax"/>
        </c:scaling>
        <c:axPos val="l"/>
        <c:majorGridlines/>
        <c:title>
          <c:tx>
            <c:rich>
              <a:bodyPr rot="0" vert="horz"/>
              <a:lstStyle/>
              <a:p>
                <a:pPr>
                  <a:defRPr/>
                </a:pPr>
                <a:r>
                  <a:rPr lang="en-US"/>
                  <a:t>%</a:t>
                </a:r>
              </a:p>
            </c:rich>
          </c:tx>
          <c:layout/>
        </c:title>
        <c:numFmt formatCode="General" sourceLinked="1"/>
        <c:tickLblPos val="nextTo"/>
        <c:crossAx val="175881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Warwickshire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0.8</c:v>
                </c:pt>
                <c:pt idx="2">
                  <c:v>0.6</c:v>
                </c:pt>
              </c:numCache>
            </c:numRef>
          </c:val>
        </c:ser>
        <c:axId val="176001024"/>
        <c:axId val="17600256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001024"/>
        <c:axId val="176002560"/>
      </c:lineChart>
      <c:catAx>
        <c:axId val="176001024"/>
        <c:scaling>
          <c:orientation val="minMax"/>
        </c:scaling>
        <c:axPos val="b"/>
        <c:numFmt formatCode="General" sourceLinked="1"/>
        <c:tickLblPos val="nextTo"/>
        <c:txPr>
          <a:bodyPr/>
          <a:lstStyle/>
          <a:p>
            <a:pPr>
              <a:defRPr sz="800"/>
            </a:pPr>
            <a:endParaRPr lang="en-US"/>
          </a:p>
        </c:txPr>
        <c:crossAx val="176002560"/>
        <c:crosses val="autoZero"/>
        <c:auto val="1"/>
        <c:lblAlgn val="ctr"/>
        <c:lblOffset val="100"/>
      </c:catAx>
      <c:valAx>
        <c:axId val="176002560"/>
        <c:scaling>
          <c:orientation val="minMax"/>
        </c:scaling>
        <c:axPos val="l"/>
        <c:majorGridlines/>
        <c:title>
          <c:tx>
            <c:rich>
              <a:bodyPr rot="0" vert="horz"/>
              <a:lstStyle/>
              <a:p>
                <a:pPr>
                  <a:defRPr/>
                </a:pPr>
                <a:r>
                  <a:rPr lang="en-US"/>
                  <a:t>%</a:t>
                </a:r>
              </a:p>
            </c:rich>
          </c:tx>
          <c:layout/>
        </c:title>
        <c:numFmt formatCode="General" sourceLinked="1"/>
        <c:tickLblPos val="nextTo"/>
        <c:crossAx val="17600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Warwickshire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1.6032064128256514</c:v>
                </c:pt>
                <c:pt idx="2">
                  <c:v>1.6032064128256514</c:v>
                </c:pt>
                <c:pt idx="3">
                  <c:v>1.3779527559055118</c:v>
                </c:pt>
                <c:pt idx="4">
                  <c:v>1.6</c:v>
                </c:pt>
                <c:pt idx="5">
                  <c:v>1.3806706114398422</c:v>
                </c:pt>
                <c:pt idx="6">
                  <c:v>1.4925373134328359</c:v>
                </c:pt>
                <c:pt idx="7">
                  <c:v>1.4311270125223614</c:v>
                </c:pt>
                <c:pt idx="8">
                  <c:v>1.3986013986013985</c:v>
                </c:pt>
                <c:pt idx="9">
                  <c:v>1.4209591474245116</c:v>
                </c:pt>
              </c:numCache>
            </c:numRef>
          </c:val>
        </c:ser>
        <c:axId val="176050560"/>
        <c:axId val="176052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6050560"/>
        <c:axId val="176052096"/>
      </c:lineChart>
      <c:catAx>
        <c:axId val="176050560"/>
        <c:scaling>
          <c:orientation val="minMax"/>
        </c:scaling>
        <c:axPos val="b"/>
        <c:numFmt formatCode="General" sourceLinked="1"/>
        <c:tickLblPos val="nextTo"/>
        <c:txPr>
          <a:bodyPr/>
          <a:lstStyle/>
          <a:p>
            <a:pPr>
              <a:defRPr sz="800"/>
            </a:pPr>
            <a:endParaRPr lang="en-US"/>
          </a:p>
        </c:txPr>
        <c:crossAx val="176052096"/>
        <c:crosses val="autoZero"/>
        <c:auto val="1"/>
        <c:lblAlgn val="ctr"/>
        <c:lblOffset val="100"/>
      </c:catAx>
      <c:valAx>
        <c:axId val="176052096"/>
        <c:scaling>
          <c:orientation val="minMax"/>
        </c:scaling>
        <c:axPos val="l"/>
        <c:majorGridlines/>
        <c:title>
          <c:tx>
            <c:rich>
              <a:bodyPr rot="0" vert="horz"/>
              <a:lstStyle/>
              <a:p>
                <a:pPr>
                  <a:defRPr/>
                </a:pPr>
                <a:r>
                  <a:rPr lang="en-US"/>
                  <a:t>%</a:t>
                </a:r>
              </a:p>
            </c:rich>
          </c:tx>
          <c:layout/>
        </c:title>
        <c:numFmt formatCode="General" sourceLinked="1"/>
        <c:tickLblPos val="nextTo"/>
        <c:crossAx val="1760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North Warwickshire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37.700000000000003</c:v>
                </c:pt>
                <c:pt idx="2">
                  <c:v>38.4</c:v>
                </c:pt>
                <c:pt idx="3">
                  <c:v>38</c:v>
                </c:pt>
                <c:pt idx="4">
                  <c:v>38.9</c:v>
                </c:pt>
                <c:pt idx="5">
                  <c:v>38.799999999999997</c:v>
                </c:pt>
                <c:pt idx="6">
                  <c:v>39</c:v>
                </c:pt>
                <c:pt idx="7">
                  <c:v>39</c:v>
                </c:pt>
                <c:pt idx="8">
                  <c:v>38.5</c:v>
                </c:pt>
                <c:pt idx="9">
                  <c:v>38.200000000000003</c:v>
                </c:pt>
                <c:pt idx="10">
                  <c:v>38</c:v>
                </c:pt>
                <c:pt idx="11">
                  <c:v>39</c:v>
                </c:pt>
              </c:numCache>
            </c:numRef>
          </c:val>
        </c:ser>
        <c:marker val="1"/>
        <c:axId val="143324672"/>
        <c:axId val="143326208"/>
      </c:lineChart>
      <c:catAx>
        <c:axId val="143324672"/>
        <c:scaling>
          <c:orientation val="minMax"/>
        </c:scaling>
        <c:axPos val="b"/>
        <c:numFmt formatCode="General" sourceLinked="1"/>
        <c:tickLblPos val="nextTo"/>
        <c:txPr>
          <a:bodyPr/>
          <a:lstStyle/>
          <a:p>
            <a:pPr>
              <a:defRPr sz="900"/>
            </a:pPr>
            <a:endParaRPr lang="en-US"/>
          </a:p>
        </c:txPr>
        <c:crossAx val="143326208"/>
        <c:crosses val="autoZero"/>
        <c:auto val="1"/>
        <c:lblAlgn val="ctr"/>
        <c:lblOffset val="100"/>
      </c:catAx>
      <c:valAx>
        <c:axId val="14332620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332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Warwickshire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0.6</c:v>
                </c:pt>
                <c:pt idx="1">
                  <c:v>0.5</c:v>
                </c:pt>
                <c:pt idx="2">
                  <c:v>0.8</c:v>
                </c:pt>
              </c:numCache>
            </c:numRef>
          </c:val>
        </c:ser>
        <c:axId val="176108288"/>
        <c:axId val="17610982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108288"/>
        <c:axId val="176109824"/>
      </c:lineChart>
      <c:catAx>
        <c:axId val="176108288"/>
        <c:scaling>
          <c:orientation val="minMax"/>
        </c:scaling>
        <c:axPos val="b"/>
        <c:numFmt formatCode="General" sourceLinked="1"/>
        <c:tickLblPos val="nextTo"/>
        <c:txPr>
          <a:bodyPr/>
          <a:lstStyle/>
          <a:p>
            <a:pPr>
              <a:defRPr sz="800"/>
            </a:pPr>
            <a:endParaRPr lang="en-US"/>
          </a:p>
        </c:txPr>
        <c:crossAx val="176109824"/>
        <c:crosses val="autoZero"/>
        <c:auto val="1"/>
        <c:lblAlgn val="ctr"/>
        <c:lblOffset val="100"/>
      </c:catAx>
      <c:valAx>
        <c:axId val="176109824"/>
        <c:scaling>
          <c:orientation val="minMax"/>
        </c:scaling>
        <c:axPos val="l"/>
        <c:majorGridlines/>
        <c:title>
          <c:tx>
            <c:rich>
              <a:bodyPr rot="0" vert="horz"/>
              <a:lstStyle/>
              <a:p>
                <a:pPr>
                  <a:defRPr/>
                </a:pPr>
                <a:r>
                  <a:rPr lang="en-US"/>
                  <a:t>%</a:t>
                </a:r>
              </a:p>
            </c:rich>
          </c:tx>
          <c:layout/>
        </c:title>
        <c:numFmt formatCode="General" sourceLinked="1"/>
        <c:tickLblPos val="nextTo"/>
        <c:crossAx val="176108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Warwickshire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3.4068136272545089</c:v>
                </c:pt>
                <c:pt idx="2">
                  <c:v>3.4068136272545089</c:v>
                </c:pt>
                <c:pt idx="3">
                  <c:v>3.3464566929133857</c:v>
                </c:pt>
                <c:pt idx="4">
                  <c:v>3.2</c:v>
                </c:pt>
                <c:pt idx="5">
                  <c:v>3.3530571992110452</c:v>
                </c:pt>
                <c:pt idx="6">
                  <c:v>3.544776119402985</c:v>
                </c:pt>
                <c:pt idx="7">
                  <c:v>3.7567084078711988</c:v>
                </c:pt>
                <c:pt idx="8">
                  <c:v>3.4965034965034967</c:v>
                </c:pt>
                <c:pt idx="9">
                  <c:v>3.5523978685612789</c:v>
                </c:pt>
              </c:numCache>
            </c:numRef>
          </c:val>
        </c:ser>
        <c:axId val="176161920"/>
        <c:axId val="17616345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6161920"/>
        <c:axId val="176163456"/>
      </c:lineChart>
      <c:catAx>
        <c:axId val="176161920"/>
        <c:scaling>
          <c:orientation val="minMax"/>
        </c:scaling>
        <c:axPos val="b"/>
        <c:numFmt formatCode="General" sourceLinked="1"/>
        <c:tickLblPos val="nextTo"/>
        <c:txPr>
          <a:bodyPr/>
          <a:lstStyle/>
          <a:p>
            <a:pPr>
              <a:defRPr sz="800"/>
            </a:pPr>
            <a:endParaRPr lang="en-US"/>
          </a:p>
        </c:txPr>
        <c:crossAx val="176163456"/>
        <c:crosses val="autoZero"/>
        <c:auto val="1"/>
        <c:lblAlgn val="ctr"/>
        <c:lblOffset val="100"/>
      </c:catAx>
      <c:valAx>
        <c:axId val="176163456"/>
        <c:scaling>
          <c:orientation val="minMax"/>
        </c:scaling>
        <c:axPos val="l"/>
        <c:majorGridlines/>
        <c:title>
          <c:tx>
            <c:rich>
              <a:bodyPr rot="0" vert="horz"/>
              <a:lstStyle/>
              <a:p>
                <a:pPr>
                  <a:defRPr/>
                </a:pPr>
                <a:r>
                  <a:rPr lang="en-US"/>
                  <a:t>%</a:t>
                </a:r>
              </a:p>
            </c:rich>
          </c:tx>
          <c:layout/>
        </c:title>
        <c:numFmt formatCode="General" sourceLinked="1"/>
        <c:tickLblPos val="nextTo"/>
        <c:crossAx val="176161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Warwickshire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6.8</c:v>
                </c:pt>
                <c:pt idx="1">
                  <c:v>3.3</c:v>
                </c:pt>
                <c:pt idx="2">
                  <c:v>8</c:v>
                </c:pt>
              </c:numCache>
            </c:numRef>
          </c:val>
        </c:ser>
        <c:axId val="176199168"/>
        <c:axId val="1762007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199168"/>
        <c:axId val="176200704"/>
      </c:lineChart>
      <c:catAx>
        <c:axId val="176199168"/>
        <c:scaling>
          <c:orientation val="minMax"/>
        </c:scaling>
        <c:axPos val="b"/>
        <c:numFmt formatCode="General" sourceLinked="1"/>
        <c:tickLblPos val="nextTo"/>
        <c:txPr>
          <a:bodyPr/>
          <a:lstStyle/>
          <a:p>
            <a:pPr>
              <a:defRPr sz="800"/>
            </a:pPr>
            <a:endParaRPr lang="en-US"/>
          </a:p>
        </c:txPr>
        <c:crossAx val="176200704"/>
        <c:crosses val="autoZero"/>
        <c:auto val="1"/>
        <c:lblAlgn val="ctr"/>
        <c:lblOffset val="100"/>
      </c:catAx>
      <c:valAx>
        <c:axId val="176200704"/>
        <c:scaling>
          <c:orientation val="minMax"/>
        </c:scaling>
        <c:axPos val="l"/>
        <c:majorGridlines/>
        <c:title>
          <c:tx>
            <c:rich>
              <a:bodyPr rot="0" vert="horz"/>
              <a:lstStyle/>
              <a:p>
                <a:pPr>
                  <a:defRPr/>
                </a:pPr>
                <a:r>
                  <a:rPr lang="en-US"/>
                  <a:t>%</a:t>
                </a:r>
              </a:p>
            </c:rich>
          </c:tx>
          <c:layout/>
        </c:title>
        <c:numFmt formatCode="General" sourceLinked="1"/>
        <c:tickLblPos val="nextTo"/>
        <c:crossAx val="17619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Warwickshire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11.22244488977956</c:v>
                </c:pt>
                <c:pt idx="2">
                  <c:v>11.623246492985972</c:v>
                </c:pt>
                <c:pt idx="3">
                  <c:v>11.811023622047244</c:v>
                </c:pt>
                <c:pt idx="4">
                  <c:v>12</c:v>
                </c:pt>
                <c:pt idx="5">
                  <c:v>11.834319526627219</c:v>
                </c:pt>
                <c:pt idx="6">
                  <c:v>12.313432835820896</c:v>
                </c:pt>
                <c:pt idx="7">
                  <c:v>12.522361359570661</c:v>
                </c:pt>
                <c:pt idx="8">
                  <c:v>13.111888111888112</c:v>
                </c:pt>
                <c:pt idx="9">
                  <c:v>13.143872113676732</c:v>
                </c:pt>
              </c:numCache>
            </c:numRef>
          </c:val>
        </c:ser>
        <c:axId val="176310144"/>
        <c:axId val="17631168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6310144"/>
        <c:axId val="176311680"/>
      </c:lineChart>
      <c:catAx>
        <c:axId val="176310144"/>
        <c:scaling>
          <c:orientation val="minMax"/>
        </c:scaling>
        <c:axPos val="b"/>
        <c:numFmt formatCode="General" sourceLinked="1"/>
        <c:tickLblPos val="nextTo"/>
        <c:txPr>
          <a:bodyPr/>
          <a:lstStyle/>
          <a:p>
            <a:pPr>
              <a:defRPr sz="800"/>
            </a:pPr>
            <a:endParaRPr lang="en-US"/>
          </a:p>
        </c:txPr>
        <c:crossAx val="176311680"/>
        <c:crosses val="autoZero"/>
        <c:auto val="1"/>
        <c:lblAlgn val="ctr"/>
        <c:lblOffset val="100"/>
      </c:catAx>
      <c:valAx>
        <c:axId val="176311680"/>
        <c:scaling>
          <c:orientation val="minMax"/>
        </c:scaling>
        <c:axPos val="l"/>
        <c:majorGridlines/>
        <c:title>
          <c:tx>
            <c:rich>
              <a:bodyPr rot="0" vert="horz"/>
              <a:lstStyle/>
              <a:p>
                <a:pPr>
                  <a:defRPr/>
                </a:pPr>
                <a:r>
                  <a:rPr lang="en-US"/>
                  <a:t>%</a:t>
                </a:r>
              </a:p>
            </c:rich>
          </c:tx>
          <c:layout/>
        </c:title>
        <c:numFmt formatCode="General" sourceLinked="1"/>
        <c:tickLblPos val="nextTo"/>
        <c:crossAx val="176310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Warwickshire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6.8</c:v>
                </c:pt>
                <c:pt idx="1">
                  <c:v>8.9</c:v>
                </c:pt>
                <c:pt idx="2">
                  <c:v>10</c:v>
                </c:pt>
              </c:numCache>
            </c:numRef>
          </c:val>
        </c:ser>
        <c:axId val="176228992"/>
        <c:axId val="17623897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228992"/>
        <c:axId val="176238976"/>
      </c:lineChart>
      <c:catAx>
        <c:axId val="176228992"/>
        <c:scaling>
          <c:orientation val="minMax"/>
        </c:scaling>
        <c:axPos val="b"/>
        <c:numFmt formatCode="General" sourceLinked="1"/>
        <c:tickLblPos val="nextTo"/>
        <c:txPr>
          <a:bodyPr/>
          <a:lstStyle/>
          <a:p>
            <a:pPr>
              <a:defRPr sz="800"/>
            </a:pPr>
            <a:endParaRPr lang="en-US"/>
          </a:p>
        </c:txPr>
        <c:crossAx val="176238976"/>
        <c:crosses val="autoZero"/>
        <c:auto val="1"/>
        <c:lblAlgn val="ctr"/>
        <c:lblOffset val="100"/>
      </c:catAx>
      <c:valAx>
        <c:axId val="176238976"/>
        <c:scaling>
          <c:orientation val="minMax"/>
        </c:scaling>
        <c:axPos val="l"/>
        <c:majorGridlines/>
        <c:title>
          <c:tx>
            <c:rich>
              <a:bodyPr rot="0" vert="horz"/>
              <a:lstStyle/>
              <a:p>
                <a:pPr>
                  <a:defRPr/>
                </a:pPr>
                <a:r>
                  <a:rPr lang="en-US"/>
                  <a:t>%</a:t>
                </a:r>
              </a:p>
            </c:rich>
          </c:tx>
          <c:layout/>
        </c:title>
        <c:numFmt formatCode="General" sourceLinked="1"/>
        <c:tickLblPos val="nextTo"/>
        <c:crossAx val="176228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Warwickshire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8.0160320641282556</c:v>
                </c:pt>
                <c:pt idx="2">
                  <c:v>7.8156312625250504</c:v>
                </c:pt>
                <c:pt idx="3">
                  <c:v>7.8740157480314963</c:v>
                </c:pt>
                <c:pt idx="4">
                  <c:v>7.6</c:v>
                </c:pt>
                <c:pt idx="5">
                  <c:v>8.2840236686390529</c:v>
                </c:pt>
                <c:pt idx="6">
                  <c:v>8.3955223880597014</c:v>
                </c:pt>
                <c:pt idx="7">
                  <c:v>8.2289803220035775</c:v>
                </c:pt>
                <c:pt idx="8">
                  <c:v>9.0909090909090917</c:v>
                </c:pt>
                <c:pt idx="9">
                  <c:v>9.4138543516873892</c:v>
                </c:pt>
              </c:numCache>
            </c:numRef>
          </c:val>
        </c:ser>
        <c:axId val="176266240"/>
        <c:axId val="17627622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6266240"/>
        <c:axId val="176276224"/>
      </c:lineChart>
      <c:catAx>
        <c:axId val="176266240"/>
        <c:scaling>
          <c:orientation val="minMax"/>
        </c:scaling>
        <c:axPos val="b"/>
        <c:numFmt formatCode="General" sourceLinked="1"/>
        <c:tickLblPos val="nextTo"/>
        <c:txPr>
          <a:bodyPr/>
          <a:lstStyle/>
          <a:p>
            <a:pPr>
              <a:defRPr sz="800"/>
            </a:pPr>
            <a:endParaRPr lang="en-US"/>
          </a:p>
        </c:txPr>
        <c:crossAx val="176276224"/>
        <c:crosses val="autoZero"/>
        <c:auto val="1"/>
        <c:lblAlgn val="ctr"/>
        <c:lblOffset val="100"/>
      </c:catAx>
      <c:valAx>
        <c:axId val="176276224"/>
        <c:scaling>
          <c:orientation val="minMax"/>
        </c:scaling>
        <c:axPos val="l"/>
        <c:majorGridlines/>
        <c:title>
          <c:tx>
            <c:rich>
              <a:bodyPr rot="0" vert="horz"/>
              <a:lstStyle/>
              <a:p>
                <a:pPr>
                  <a:defRPr/>
                </a:pPr>
                <a:r>
                  <a:rPr lang="en-US"/>
                  <a:t>%</a:t>
                </a:r>
              </a:p>
            </c:rich>
          </c:tx>
          <c:layout/>
        </c:title>
        <c:numFmt formatCode="General" sourceLinked="1"/>
        <c:tickLblPos val="nextTo"/>
        <c:crossAx val="176266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Warwickshire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0.9</c:v>
                </c:pt>
                <c:pt idx="1">
                  <c:v>0.9</c:v>
                </c:pt>
                <c:pt idx="2">
                  <c:v>0.9</c:v>
                </c:pt>
              </c:numCache>
            </c:numRef>
          </c:val>
        </c:ser>
        <c:axId val="176438656"/>
        <c:axId val="1764691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438656"/>
        <c:axId val="176469120"/>
      </c:lineChart>
      <c:catAx>
        <c:axId val="176438656"/>
        <c:scaling>
          <c:orientation val="minMax"/>
        </c:scaling>
        <c:axPos val="b"/>
        <c:numFmt formatCode="General" sourceLinked="1"/>
        <c:tickLblPos val="nextTo"/>
        <c:txPr>
          <a:bodyPr/>
          <a:lstStyle/>
          <a:p>
            <a:pPr>
              <a:defRPr sz="800"/>
            </a:pPr>
            <a:endParaRPr lang="en-US"/>
          </a:p>
        </c:txPr>
        <c:crossAx val="176469120"/>
        <c:crosses val="autoZero"/>
        <c:auto val="1"/>
        <c:lblAlgn val="ctr"/>
        <c:lblOffset val="100"/>
      </c:catAx>
      <c:valAx>
        <c:axId val="176469120"/>
        <c:scaling>
          <c:orientation val="minMax"/>
        </c:scaling>
        <c:axPos val="l"/>
        <c:majorGridlines/>
        <c:title>
          <c:tx>
            <c:rich>
              <a:bodyPr rot="0" vert="horz"/>
              <a:lstStyle/>
              <a:p>
                <a:pPr>
                  <a:defRPr/>
                </a:pPr>
                <a:r>
                  <a:rPr lang="en-US"/>
                  <a:t>%</a:t>
                </a:r>
              </a:p>
            </c:rich>
          </c:tx>
          <c:layout/>
        </c:title>
        <c:numFmt formatCode="General" sourceLinked="1"/>
        <c:tickLblPos val="nextTo"/>
        <c:crossAx val="17643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Warwickshire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0.20040080160320642</c:v>
                </c:pt>
                <c:pt idx="2">
                  <c:v>0.20040080160320642</c:v>
                </c:pt>
                <c:pt idx="3">
                  <c:v>0.39370078740157483</c:v>
                </c:pt>
                <c:pt idx="4">
                  <c:v>0.4</c:v>
                </c:pt>
                <c:pt idx="5">
                  <c:v>0.39447731755424065</c:v>
                </c:pt>
                <c:pt idx="6">
                  <c:v>0.55970149253731338</c:v>
                </c:pt>
                <c:pt idx="7">
                  <c:v>0.53667262969588547</c:v>
                </c:pt>
                <c:pt idx="8">
                  <c:v>0.52447552447552448</c:v>
                </c:pt>
                <c:pt idx="9">
                  <c:v>0.53285968028419184</c:v>
                </c:pt>
              </c:numCache>
            </c:numRef>
          </c:val>
        </c:ser>
        <c:axId val="176500736"/>
        <c:axId val="17650227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6500736"/>
        <c:axId val="176502272"/>
      </c:lineChart>
      <c:catAx>
        <c:axId val="176500736"/>
        <c:scaling>
          <c:orientation val="minMax"/>
        </c:scaling>
        <c:axPos val="b"/>
        <c:numFmt formatCode="General" sourceLinked="1"/>
        <c:tickLblPos val="nextTo"/>
        <c:txPr>
          <a:bodyPr/>
          <a:lstStyle/>
          <a:p>
            <a:pPr>
              <a:defRPr sz="800"/>
            </a:pPr>
            <a:endParaRPr lang="en-US"/>
          </a:p>
        </c:txPr>
        <c:crossAx val="176502272"/>
        <c:crosses val="autoZero"/>
        <c:auto val="1"/>
        <c:lblAlgn val="ctr"/>
        <c:lblOffset val="100"/>
      </c:catAx>
      <c:valAx>
        <c:axId val="176502272"/>
        <c:scaling>
          <c:orientation val="minMax"/>
        </c:scal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Warwickshire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4.5</c:v>
                </c:pt>
                <c:pt idx="1">
                  <c:v>5</c:v>
                </c:pt>
                <c:pt idx="2">
                  <c:v>4.5</c:v>
                </c:pt>
              </c:numCache>
            </c:numRef>
          </c:val>
        </c:ser>
        <c:axId val="176529792"/>
        <c:axId val="17653132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529792"/>
        <c:axId val="176531328"/>
      </c:lineChart>
      <c:catAx>
        <c:axId val="176529792"/>
        <c:scaling>
          <c:orientation val="minMax"/>
        </c:scaling>
        <c:axPos val="b"/>
        <c:numFmt formatCode="General" sourceLinked="1"/>
        <c:tickLblPos val="nextTo"/>
        <c:txPr>
          <a:bodyPr/>
          <a:lstStyle/>
          <a:p>
            <a:pPr>
              <a:defRPr sz="800"/>
            </a:pPr>
            <a:endParaRPr lang="en-US"/>
          </a:p>
        </c:txPr>
        <c:crossAx val="176531328"/>
        <c:crosses val="autoZero"/>
        <c:auto val="1"/>
        <c:lblAlgn val="ctr"/>
        <c:lblOffset val="100"/>
      </c:catAx>
      <c:valAx>
        <c:axId val="176531328"/>
        <c:scaling>
          <c:orientation val="minMax"/>
        </c:scaling>
        <c:axPos val="l"/>
        <c:majorGridlines/>
        <c:title>
          <c:tx>
            <c:rich>
              <a:bodyPr rot="0" vert="horz"/>
              <a:lstStyle/>
              <a:p>
                <a:pPr>
                  <a:defRPr/>
                </a:pPr>
                <a:r>
                  <a:rPr lang="en-US"/>
                  <a:t>%</a:t>
                </a:r>
              </a:p>
            </c:rich>
          </c:tx>
          <c:layout/>
        </c:title>
        <c:numFmt formatCode="General" sourceLinked="1"/>
        <c:tickLblPos val="nextTo"/>
        <c:crossAx val="17652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Warwickshire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1.6032064128256514</c:v>
                </c:pt>
                <c:pt idx="2">
                  <c:v>1.402805611222445</c:v>
                </c:pt>
                <c:pt idx="3">
                  <c:v>1.3779527559055118</c:v>
                </c:pt>
                <c:pt idx="4">
                  <c:v>1.4</c:v>
                </c:pt>
                <c:pt idx="5">
                  <c:v>1.5779092702169626</c:v>
                </c:pt>
                <c:pt idx="6">
                  <c:v>1.4925373134328359</c:v>
                </c:pt>
                <c:pt idx="7">
                  <c:v>1.4311270125223614</c:v>
                </c:pt>
                <c:pt idx="8">
                  <c:v>1.5734265734265733</c:v>
                </c:pt>
                <c:pt idx="9">
                  <c:v>1.7761989342806395</c:v>
                </c:pt>
              </c:numCache>
            </c:numRef>
          </c:val>
        </c:ser>
        <c:axId val="176587520"/>
        <c:axId val="17658905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6587520"/>
        <c:axId val="176589056"/>
      </c:lineChart>
      <c:catAx>
        <c:axId val="176587520"/>
        <c:scaling>
          <c:orientation val="minMax"/>
        </c:scaling>
        <c:axPos val="b"/>
        <c:numFmt formatCode="General" sourceLinked="1"/>
        <c:tickLblPos val="nextTo"/>
        <c:txPr>
          <a:bodyPr/>
          <a:lstStyle/>
          <a:p>
            <a:pPr>
              <a:defRPr sz="800"/>
            </a:pPr>
            <a:endParaRPr lang="en-US"/>
          </a:p>
        </c:txPr>
        <c:crossAx val="176589056"/>
        <c:crosses val="autoZero"/>
        <c:auto val="1"/>
        <c:lblAlgn val="ctr"/>
        <c:lblOffset val="100"/>
      </c:catAx>
      <c:valAx>
        <c:axId val="176589056"/>
        <c:scaling>
          <c:orientation val="minMax"/>
        </c:scaling>
        <c:axPos val="l"/>
        <c:majorGridlines/>
        <c:title>
          <c:tx>
            <c:rich>
              <a:bodyPr rot="0" vert="horz"/>
              <a:lstStyle/>
              <a:p>
                <a:pPr>
                  <a:defRPr/>
                </a:pPr>
                <a:r>
                  <a:rPr lang="en-US"/>
                  <a:t>%</a:t>
                </a:r>
              </a:p>
            </c:rich>
          </c:tx>
          <c:layout/>
        </c:title>
        <c:numFmt formatCode="General" sourceLinked="1"/>
        <c:tickLblPos val="nextTo"/>
        <c:crossAx val="176587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North Warwickshire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456.6</c:v>
                </c:pt>
                <c:pt idx="2">
                  <c:v>485.9</c:v>
                </c:pt>
                <c:pt idx="3">
                  <c:v>506.2</c:v>
                </c:pt>
                <c:pt idx="4">
                  <c:v>484.5</c:v>
                </c:pt>
                <c:pt idx="5">
                  <c:v>468</c:v>
                </c:pt>
                <c:pt idx="6">
                  <c:v>450.8</c:v>
                </c:pt>
                <c:pt idx="7">
                  <c:v>444.5</c:v>
                </c:pt>
                <c:pt idx="8">
                  <c:v>446.1</c:v>
                </c:pt>
                <c:pt idx="9">
                  <c:v>533.5</c:v>
                </c:pt>
                <c:pt idx="10">
                  <c:v>520.5</c:v>
                </c:pt>
                <c:pt idx="11">
                  <c:v>507.8</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9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Warwickshire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4.5</c:v>
                </c:pt>
                <c:pt idx="1">
                  <c:v>5</c:v>
                </c:pt>
                <c:pt idx="2">
                  <c:v>4.5</c:v>
                </c:pt>
              </c:numCache>
            </c:numRef>
          </c:val>
        </c:ser>
        <c:axId val="176702592"/>
        <c:axId val="17670412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6702592"/>
        <c:axId val="176704128"/>
      </c:lineChart>
      <c:catAx>
        <c:axId val="176702592"/>
        <c:scaling>
          <c:orientation val="minMax"/>
        </c:scaling>
        <c:axPos val="b"/>
        <c:numFmt formatCode="General" sourceLinked="1"/>
        <c:tickLblPos val="nextTo"/>
        <c:txPr>
          <a:bodyPr/>
          <a:lstStyle/>
          <a:p>
            <a:pPr>
              <a:defRPr sz="800"/>
            </a:pPr>
            <a:endParaRPr lang="en-US"/>
          </a:p>
        </c:txPr>
        <c:crossAx val="176704128"/>
        <c:crosses val="autoZero"/>
        <c:auto val="1"/>
        <c:lblAlgn val="ctr"/>
        <c:lblOffset val="100"/>
      </c:catAx>
      <c:valAx>
        <c:axId val="176704128"/>
        <c:scaling>
          <c:orientation val="minMax"/>
        </c:scaling>
        <c:axPos val="l"/>
        <c:majorGridlines/>
        <c:title>
          <c:tx>
            <c:rich>
              <a:bodyPr rot="0" vert="horz"/>
              <a:lstStyle/>
              <a:p>
                <a:pPr>
                  <a:defRPr/>
                </a:pPr>
                <a:r>
                  <a:rPr lang="en-US"/>
                  <a:t>%</a:t>
                </a:r>
              </a:p>
            </c:rich>
          </c:tx>
          <c:layout/>
        </c:title>
        <c:numFmt formatCode="General" sourceLinked="1"/>
        <c:tickLblPos val="nextTo"/>
        <c:crossAx val="1767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Warwickshire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2.0040080160320639</c:v>
                </c:pt>
                <c:pt idx="2">
                  <c:v>2.6052104208416833</c:v>
                </c:pt>
                <c:pt idx="3">
                  <c:v>2.5590551181102361</c:v>
                </c:pt>
                <c:pt idx="4">
                  <c:v>2.8</c:v>
                </c:pt>
                <c:pt idx="5">
                  <c:v>2.7613412228796843</c:v>
                </c:pt>
                <c:pt idx="6">
                  <c:v>2.9850746268656718</c:v>
                </c:pt>
                <c:pt idx="7">
                  <c:v>2.8622540250447228</c:v>
                </c:pt>
                <c:pt idx="8">
                  <c:v>2.7972027972027971</c:v>
                </c:pt>
                <c:pt idx="9">
                  <c:v>2.4866785079928952</c:v>
                </c:pt>
              </c:numCache>
            </c:numRef>
          </c:val>
        </c:ser>
        <c:axId val="176739456"/>
        <c:axId val="1767409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6739456"/>
        <c:axId val="176740992"/>
      </c:lineChart>
      <c:catAx>
        <c:axId val="176739456"/>
        <c:scaling>
          <c:orientation val="minMax"/>
        </c:scaling>
        <c:axPos val="b"/>
        <c:numFmt formatCode="General" sourceLinked="1"/>
        <c:tickLblPos val="nextTo"/>
        <c:txPr>
          <a:bodyPr/>
          <a:lstStyle/>
          <a:p>
            <a:pPr>
              <a:defRPr sz="800"/>
            </a:pPr>
            <a:endParaRPr lang="en-US"/>
          </a:p>
        </c:txPr>
        <c:crossAx val="176740992"/>
        <c:crosses val="autoZero"/>
        <c:auto val="1"/>
        <c:lblAlgn val="ctr"/>
        <c:lblOffset val="100"/>
      </c:catAx>
      <c:valAx>
        <c:axId val="176740992"/>
        <c:scaling>
          <c:orientation val="minMax"/>
        </c:scaling>
        <c:axPos val="l"/>
        <c:majorGridlines/>
        <c:title>
          <c:tx>
            <c:rich>
              <a:bodyPr rot="0" vert="horz"/>
              <a:lstStyle/>
              <a:p>
                <a:pPr>
                  <a:defRPr/>
                </a:pPr>
                <a:r>
                  <a:rPr lang="en-US"/>
                  <a:t>%</a:t>
                </a:r>
              </a:p>
            </c:rich>
          </c:tx>
          <c:layout/>
        </c:title>
        <c:numFmt formatCode="General" sourceLinked="1"/>
        <c:tickLblPos val="nextTo"/>
        <c:crossAx val="176739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Warwickshire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2.8</c:v>
                </c:pt>
                <c:pt idx="1">
                  <c:v>2.8</c:v>
                </c:pt>
                <c:pt idx="2">
                  <c:v>3</c:v>
                </c:pt>
              </c:numCache>
            </c:numRef>
          </c:val>
        </c:ser>
        <c:axId val="176653440"/>
        <c:axId val="1766549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6653440"/>
        <c:axId val="176654976"/>
      </c:lineChart>
      <c:catAx>
        <c:axId val="176653440"/>
        <c:scaling>
          <c:orientation val="minMax"/>
        </c:scaling>
        <c:axPos val="b"/>
        <c:numFmt formatCode="General" sourceLinked="1"/>
        <c:tickLblPos val="nextTo"/>
        <c:txPr>
          <a:bodyPr/>
          <a:lstStyle/>
          <a:p>
            <a:pPr>
              <a:defRPr sz="800"/>
            </a:pPr>
            <a:endParaRPr lang="en-US"/>
          </a:p>
        </c:txPr>
        <c:crossAx val="176654976"/>
        <c:crosses val="autoZero"/>
        <c:auto val="1"/>
        <c:lblAlgn val="ctr"/>
        <c:lblOffset val="100"/>
      </c:catAx>
      <c:valAx>
        <c:axId val="176654976"/>
        <c:scaling>
          <c:orientation val="minMax"/>
        </c:scaling>
        <c:axPos val="l"/>
        <c:majorGridlines/>
        <c:title>
          <c:tx>
            <c:rich>
              <a:bodyPr rot="0" vert="horz"/>
              <a:lstStyle/>
              <a:p>
                <a:pPr>
                  <a:defRPr/>
                </a:pPr>
                <a:r>
                  <a:rPr lang="en-US"/>
                  <a:t>%</a:t>
                </a:r>
              </a:p>
            </c:rich>
          </c:tx>
          <c:layout/>
        </c:title>
        <c:numFmt formatCode="General" sourceLinked="1"/>
        <c:tickLblPos val="nextTo"/>
        <c:crossAx val="176653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Warwickshire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6.0120240480961922</c:v>
                </c:pt>
                <c:pt idx="2">
                  <c:v>5.811623246492986</c:v>
                </c:pt>
                <c:pt idx="3">
                  <c:v>6.2992125984251972</c:v>
                </c:pt>
                <c:pt idx="4">
                  <c:v>5.6</c:v>
                </c:pt>
                <c:pt idx="5">
                  <c:v>5.5226824457593686</c:v>
                </c:pt>
                <c:pt idx="6">
                  <c:v>5.7835820895522385</c:v>
                </c:pt>
                <c:pt idx="7">
                  <c:v>5.5456171735241506</c:v>
                </c:pt>
                <c:pt idx="8">
                  <c:v>5.5944055944055942</c:v>
                </c:pt>
                <c:pt idx="9">
                  <c:v>5.5062166962699823</c:v>
                </c:pt>
              </c:numCache>
            </c:numRef>
          </c:val>
        </c:ser>
        <c:axId val="176834048"/>
        <c:axId val="1768355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6834048"/>
        <c:axId val="176835584"/>
      </c:lineChart>
      <c:catAx>
        <c:axId val="176834048"/>
        <c:scaling>
          <c:orientation val="minMax"/>
        </c:scaling>
        <c:axPos val="b"/>
        <c:numFmt formatCode="General" sourceLinked="1"/>
        <c:tickLblPos val="nextTo"/>
        <c:txPr>
          <a:bodyPr/>
          <a:lstStyle/>
          <a:p>
            <a:pPr>
              <a:defRPr sz="800"/>
            </a:pPr>
            <a:endParaRPr lang="en-US"/>
          </a:p>
        </c:txPr>
        <c:crossAx val="176835584"/>
        <c:crosses val="autoZero"/>
        <c:auto val="1"/>
        <c:lblAlgn val="ctr"/>
        <c:lblOffset val="100"/>
      </c:catAx>
      <c:valAx>
        <c:axId val="176835584"/>
        <c:scaling>
          <c:orientation val="minMax"/>
        </c:scaling>
        <c:axPos val="l"/>
        <c:majorGridlines/>
        <c:title>
          <c:tx>
            <c:rich>
              <a:bodyPr rot="0" vert="horz"/>
              <a:lstStyle/>
              <a:p>
                <a:pPr>
                  <a:defRPr/>
                </a:pPr>
                <a:r>
                  <a:rPr lang="en-US"/>
                  <a:t>%</a:t>
                </a:r>
              </a:p>
            </c:rich>
          </c:tx>
          <c:layout/>
        </c:title>
        <c:numFmt formatCode="General" sourceLinked="1"/>
        <c:tickLblPos val="nextTo"/>
        <c:crossAx val="17683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North Warwickshire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76.266337064249583</c:v>
                </c:pt>
                <c:pt idx="1">
                  <c:v>75.833278258762363</c:v>
                </c:pt>
                <c:pt idx="2">
                  <c:v>74.210116109434637</c:v>
                </c:pt>
              </c:numCache>
            </c:numRef>
          </c:val>
        </c:ser>
        <c:marker val="1"/>
        <c:axId val="176961024"/>
        <c:axId val="176962560"/>
      </c:lineChart>
      <c:catAx>
        <c:axId val="176961024"/>
        <c:scaling>
          <c:orientation val="minMax"/>
        </c:scaling>
        <c:axPos val="b"/>
        <c:numFmt formatCode="General" sourceLinked="1"/>
        <c:tickLblPos val="nextTo"/>
        <c:txPr>
          <a:bodyPr/>
          <a:lstStyle/>
          <a:p>
            <a:pPr>
              <a:defRPr sz="800"/>
            </a:pPr>
            <a:endParaRPr lang="en-US"/>
          </a:p>
        </c:txPr>
        <c:crossAx val="176962560"/>
        <c:crosses val="autoZero"/>
        <c:auto val="1"/>
        <c:lblAlgn val="ctr"/>
        <c:lblOffset val="100"/>
      </c:catAx>
      <c:valAx>
        <c:axId val="176962560"/>
        <c:scaling>
          <c:orientation val="minMax"/>
        </c:scaling>
        <c:axPos val="l"/>
        <c:majorGridlines/>
        <c:title>
          <c:tx>
            <c:rich>
              <a:bodyPr rot="0" vert="horz"/>
              <a:lstStyle/>
              <a:p>
                <a:pPr>
                  <a:defRPr/>
                </a:pPr>
                <a:r>
                  <a:rPr lang="en-US"/>
                  <a:t>%</a:t>
                </a:r>
              </a:p>
            </c:rich>
          </c:tx>
          <c:layout/>
        </c:title>
        <c:numFmt formatCode="0.00" sourceLinked="1"/>
        <c:tickLblPos val="nextTo"/>
        <c:crossAx val="1769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North Warwickshire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23.731374030076221</c:v>
                </c:pt>
                <c:pt idx="1">
                  <c:v>24.164518758398874</c:v>
                </c:pt>
                <c:pt idx="2">
                  <c:v>25.78988389056536</c:v>
                </c:pt>
              </c:numCache>
            </c:numRef>
          </c:val>
        </c:ser>
        <c:marker val="1"/>
        <c:axId val="176997888"/>
        <c:axId val="176999424"/>
      </c:lineChart>
      <c:catAx>
        <c:axId val="176997888"/>
        <c:scaling>
          <c:orientation val="minMax"/>
        </c:scaling>
        <c:axPos val="b"/>
        <c:numFmt formatCode="General" sourceLinked="1"/>
        <c:tickLblPos val="nextTo"/>
        <c:txPr>
          <a:bodyPr/>
          <a:lstStyle/>
          <a:p>
            <a:pPr>
              <a:defRPr sz="800"/>
            </a:pPr>
            <a:endParaRPr lang="en-US"/>
          </a:p>
        </c:txPr>
        <c:crossAx val="176999424"/>
        <c:crosses val="autoZero"/>
        <c:auto val="1"/>
        <c:lblAlgn val="ctr"/>
        <c:lblOffset val="100"/>
      </c:catAx>
      <c:valAx>
        <c:axId val="176999424"/>
        <c:scaling>
          <c:orientation val="minMax"/>
        </c:scaling>
        <c:axPos val="l"/>
        <c:majorGridlines/>
        <c:title>
          <c:tx>
            <c:rich>
              <a:bodyPr rot="0" vert="horz"/>
              <a:lstStyle/>
              <a:p>
                <a:pPr>
                  <a:defRPr/>
                </a:pPr>
                <a:r>
                  <a:rPr lang="en-US"/>
                  <a:t>%</a:t>
                </a:r>
              </a:p>
            </c:rich>
          </c:tx>
          <c:layout/>
        </c:title>
        <c:numFmt formatCode="General" sourceLinked="1"/>
        <c:tickLblPos val="nextTo"/>
        <c:crossAx val="1769978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North Warwickshire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6.2120899997711092</c:v>
                </c:pt>
                <c:pt idx="1">
                  <c:v>6.1969907254422489</c:v>
                </c:pt>
                <c:pt idx="2">
                  <c:v>5.7115449949039752</c:v>
                </c:pt>
              </c:numCache>
            </c:numRef>
          </c:val>
        </c:ser>
        <c:marker val="1"/>
        <c:axId val="176920064"/>
        <c:axId val="176921600"/>
      </c:lineChart>
      <c:catAx>
        <c:axId val="176920064"/>
        <c:scaling>
          <c:orientation val="minMax"/>
        </c:scaling>
        <c:axPos val="b"/>
        <c:numFmt formatCode="General" sourceLinked="1"/>
        <c:tickLblPos val="nextTo"/>
        <c:crossAx val="176921600"/>
        <c:crosses val="autoZero"/>
        <c:auto val="1"/>
        <c:lblAlgn val="ctr"/>
        <c:lblOffset val="100"/>
      </c:catAx>
      <c:valAx>
        <c:axId val="176921600"/>
        <c:scaling>
          <c:orientation val="minMax"/>
        </c:scaling>
        <c:axPos val="l"/>
        <c:majorGridlines/>
        <c:title>
          <c:tx>
            <c:rich>
              <a:bodyPr rot="0" vert="horz"/>
              <a:lstStyle/>
              <a:p>
                <a:pPr>
                  <a:defRPr/>
                </a:pPr>
                <a:r>
                  <a:rPr lang="en-US"/>
                  <a:t>%</a:t>
                </a:r>
              </a:p>
            </c:rich>
          </c:tx>
          <c:layout/>
        </c:title>
        <c:numFmt formatCode="General" sourceLinked="1"/>
        <c:tickLblPos val="nextTo"/>
        <c:crossAx val="1769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North Warwickshire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48.931466470154753</c:v>
                </c:pt>
                <c:pt idx="1">
                  <c:v>45.503021685033772</c:v>
                </c:pt>
                <c:pt idx="2">
                  <c:v>41.077676696990906</c:v>
                </c:pt>
              </c:numCache>
            </c:numRef>
          </c:val>
        </c:ser>
        <c:marker val="1"/>
        <c:axId val="177100288"/>
        <c:axId val="177101824"/>
      </c:lineChart>
      <c:catAx>
        <c:axId val="177100288"/>
        <c:scaling>
          <c:orientation val="minMax"/>
        </c:scaling>
        <c:axPos val="b"/>
        <c:numFmt formatCode="General" sourceLinked="1"/>
        <c:tickLblPos val="nextTo"/>
        <c:txPr>
          <a:bodyPr/>
          <a:lstStyle/>
          <a:p>
            <a:pPr>
              <a:defRPr sz="800"/>
            </a:pPr>
            <a:endParaRPr lang="en-US"/>
          </a:p>
        </c:txPr>
        <c:crossAx val="177101824"/>
        <c:crosses val="autoZero"/>
        <c:auto val="1"/>
        <c:lblAlgn val="ctr"/>
        <c:lblOffset val="100"/>
      </c:catAx>
      <c:valAx>
        <c:axId val="177101824"/>
        <c:scaling>
          <c:orientation val="minMax"/>
        </c:scaling>
        <c:axPos val="l"/>
        <c:majorGridlines/>
        <c:title>
          <c:tx>
            <c:rich>
              <a:bodyPr rot="0" vert="horz"/>
              <a:lstStyle/>
              <a:p>
                <a:pPr>
                  <a:defRPr/>
                </a:pPr>
                <a:r>
                  <a:rPr lang="en-US"/>
                  <a:t>%</a:t>
                </a:r>
              </a:p>
            </c:rich>
          </c:tx>
          <c:layout/>
        </c:title>
        <c:numFmt formatCode="General" sourceLinked="1"/>
        <c:tickLblPos val="nextTo"/>
        <c:crossAx val="177100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North Warwickshire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51.068533529845247</c:v>
                </c:pt>
                <c:pt idx="1">
                  <c:v>54.496978314966228</c:v>
                </c:pt>
                <c:pt idx="2">
                  <c:v>58.922323303009094</c:v>
                </c:pt>
              </c:numCache>
            </c:numRef>
          </c:val>
        </c:ser>
        <c:marker val="1"/>
        <c:axId val="177141248"/>
        <c:axId val="177142784"/>
      </c:lineChart>
      <c:catAx>
        <c:axId val="177141248"/>
        <c:scaling>
          <c:orientation val="minMax"/>
        </c:scaling>
        <c:axPos val="b"/>
        <c:numFmt formatCode="General" sourceLinked="1"/>
        <c:tickLblPos val="nextTo"/>
        <c:txPr>
          <a:bodyPr/>
          <a:lstStyle/>
          <a:p>
            <a:pPr>
              <a:defRPr sz="800"/>
            </a:pPr>
            <a:endParaRPr lang="en-US"/>
          </a:p>
        </c:txPr>
        <c:crossAx val="177142784"/>
        <c:crosses val="autoZero"/>
        <c:auto val="1"/>
        <c:lblAlgn val="ctr"/>
        <c:lblOffset val="100"/>
      </c:catAx>
      <c:valAx>
        <c:axId val="177142784"/>
        <c:scaling>
          <c:orientation val="minMax"/>
        </c:scaling>
        <c:axPos val="l"/>
        <c:majorGridlines/>
        <c:title>
          <c:tx>
            <c:rich>
              <a:bodyPr rot="0" vert="horz"/>
              <a:lstStyle/>
              <a:p>
                <a:pPr>
                  <a:defRPr/>
                </a:pPr>
                <a:r>
                  <a:rPr lang="en-US"/>
                  <a:t>%</a:t>
                </a:r>
              </a:p>
            </c:rich>
          </c:tx>
          <c:layout/>
        </c:title>
        <c:numFmt formatCode="General" sourceLinked="1"/>
        <c:tickLblPos val="nextTo"/>
        <c:crossAx val="1771412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North Warwickshire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93.787910000228891</c:v>
                </c:pt>
                <c:pt idx="1">
                  <c:v>93.803009274557752</c:v>
                </c:pt>
                <c:pt idx="2">
                  <c:v>94.286456563880179</c:v>
                </c:pt>
              </c:numCache>
            </c:numRef>
          </c:val>
        </c:ser>
        <c:marker val="1"/>
        <c:axId val="177051136"/>
        <c:axId val="177052672"/>
      </c:lineChart>
      <c:catAx>
        <c:axId val="177051136"/>
        <c:scaling>
          <c:orientation val="minMax"/>
        </c:scaling>
        <c:axPos val="b"/>
        <c:numFmt formatCode="General" sourceLinked="1"/>
        <c:tickLblPos val="nextTo"/>
        <c:crossAx val="177052672"/>
        <c:crosses val="autoZero"/>
        <c:auto val="1"/>
        <c:lblAlgn val="ctr"/>
        <c:lblOffset val="100"/>
      </c:catAx>
      <c:valAx>
        <c:axId val="177052672"/>
        <c:scaling>
          <c:orientation val="minMax"/>
        </c:scaling>
        <c:axPos val="l"/>
        <c:majorGridlines/>
        <c:title>
          <c:tx>
            <c:rich>
              <a:bodyPr rot="0" vert="horz"/>
              <a:lstStyle/>
              <a:p>
                <a:pPr>
                  <a:defRPr/>
                </a:pPr>
                <a:r>
                  <a:rPr lang="en-US"/>
                  <a:t>%</a:t>
                </a:r>
              </a:p>
            </c:rich>
          </c:tx>
          <c:layout/>
        </c:title>
        <c:numFmt formatCode="General" sourceLinked="1"/>
        <c:tickLblPos val="nextTo"/>
        <c:crossAx val="17705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0.8</c:v>
                </c:pt>
                <c:pt idx="1">
                  <c:v>0.8</c:v>
                </c:pt>
                <c:pt idx="2">
                  <c:v>18.2</c:v>
                </c:pt>
                <c:pt idx="3">
                  <c:v>9.1</c:v>
                </c:pt>
                <c:pt idx="4">
                  <c:v>5.3</c:v>
                </c:pt>
                <c:pt idx="5">
                  <c:v>6.8</c:v>
                </c:pt>
                <c:pt idx="6">
                  <c:v>6.8</c:v>
                </c:pt>
                <c:pt idx="7">
                  <c:v>21.2</c:v>
                </c:pt>
                <c:pt idx="8">
                  <c:v>3.8</c:v>
                </c:pt>
                <c:pt idx="9">
                  <c:v>3</c:v>
                </c:pt>
                <c:pt idx="10">
                  <c:v>0.9</c:v>
                </c:pt>
                <c:pt idx="11">
                  <c:v>0.5</c:v>
                </c:pt>
                <c:pt idx="12">
                  <c:v>7.6</c:v>
                </c:pt>
                <c:pt idx="13">
                  <c:v>6.8</c:v>
                </c:pt>
                <c:pt idx="14">
                  <c:v>0.9</c:v>
                </c:pt>
                <c:pt idx="15">
                  <c:v>2.7</c:v>
                </c:pt>
                <c:pt idx="16">
                  <c:v>3</c:v>
                </c:pt>
                <c:pt idx="17">
                  <c:v>2.1</c:v>
                </c:pt>
              </c:numCache>
            </c:numRef>
          </c:val>
        </c:ser>
        <c:ser>
          <c:idx val="7"/>
          <c:order val="1"/>
          <c:tx>
            <c:strRef>
              <c:f>'front page'!$AM$19</c:f>
              <c:strCache>
                <c:ptCount val="1"/>
                <c:pt idx="0">
                  <c:v>2016</c:v>
                </c:pt>
              </c:strCache>
            </c:strRef>
          </c:tx>
          <c:val>
            <c:numRef>
              <c:f>'front page'!$AM$20:$AM$37</c:f>
              <c:numCache>
                <c:formatCode>General</c:formatCode>
                <c:ptCount val="18"/>
                <c:pt idx="0">
                  <c:v>0.7</c:v>
                </c:pt>
                <c:pt idx="1">
                  <c:v>0.9</c:v>
                </c:pt>
                <c:pt idx="2">
                  <c:v>17.600000000000001</c:v>
                </c:pt>
                <c:pt idx="3">
                  <c:v>6.6</c:v>
                </c:pt>
                <c:pt idx="4">
                  <c:v>5.9</c:v>
                </c:pt>
                <c:pt idx="5">
                  <c:v>7.4</c:v>
                </c:pt>
                <c:pt idx="6">
                  <c:v>10.3</c:v>
                </c:pt>
                <c:pt idx="7">
                  <c:v>23.5</c:v>
                </c:pt>
                <c:pt idx="8">
                  <c:v>4.4000000000000004</c:v>
                </c:pt>
                <c:pt idx="9">
                  <c:v>2.9</c:v>
                </c:pt>
                <c:pt idx="10">
                  <c:v>0.9</c:v>
                </c:pt>
                <c:pt idx="11">
                  <c:v>0.4</c:v>
                </c:pt>
                <c:pt idx="12">
                  <c:v>3.7</c:v>
                </c:pt>
                <c:pt idx="13">
                  <c:v>7.4</c:v>
                </c:pt>
                <c:pt idx="14">
                  <c:v>0.9</c:v>
                </c:pt>
                <c:pt idx="15">
                  <c:v>2.6</c:v>
                </c:pt>
                <c:pt idx="16">
                  <c:v>2.9</c:v>
                </c:pt>
                <c:pt idx="17">
                  <c:v>2.1</c:v>
                </c:pt>
              </c:numCache>
            </c:numRef>
          </c:val>
        </c:ser>
        <c:ser>
          <c:idx val="0"/>
          <c:order val="2"/>
          <c:tx>
            <c:strRef>
              <c:f>'front page'!$AN$19</c:f>
              <c:strCache>
                <c:ptCount val="1"/>
                <c:pt idx="0">
                  <c:v>2017</c:v>
                </c:pt>
              </c:strCache>
            </c:strRef>
          </c:tx>
          <c:val>
            <c:numRef>
              <c:f>'front page'!$AN$20:$AN$37</c:f>
              <c:numCache>
                <c:formatCode>General</c:formatCode>
                <c:ptCount val="18"/>
                <c:pt idx="0">
                  <c:v>0.7</c:v>
                </c:pt>
                <c:pt idx="1">
                  <c:v>1.6</c:v>
                </c:pt>
                <c:pt idx="2">
                  <c:v>16.2</c:v>
                </c:pt>
                <c:pt idx="3">
                  <c:v>6.8</c:v>
                </c:pt>
                <c:pt idx="4">
                  <c:v>6.8</c:v>
                </c:pt>
                <c:pt idx="5">
                  <c:v>6.8</c:v>
                </c:pt>
                <c:pt idx="6">
                  <c:v>9.5</c:v>
                </c:pt>
                <c:pt idx="7">
                  <c:v>16.2</c:v>
                </c:pt>
                <c:pt idx="8">
                  <c:v>4.0999999999999996</c:v>
                </c:pt>
                <c:pt idx="9">
                  <c:v>2.7</c:v>
                </c:pt>
                <c:pt idx="10">
                  <c:v>0.6</c:v>
                </c:pt>
                <c:pt idx="11">
                  <c:v>0.7</c:v>
                </c:pt>
                <c:pt idx="12">
                  <c:v>8.1</c:v>
                </c:pt>
                <c:pt idx="13">
                  <c:v>9.5</c:v>
                </c:pt>
                <c:pt idx="14">
                  <c:v>0.8</c:v>
                </c:pt>
                <c:pt idx="15">
                  <c:v>2.2000000000000002</c:v>
                </c:pt>
                <c:pt idx="16">
                  <c:v>2.7</c:v>
                </c:pt>
                <c:pt idx="17">
                  <c:v>1.9</c:v>
                </c:pt>
              </c:numCache>
            </c:numRef>
          </c:val>
        </c:ser>
        <c:axId val="174809856"/>
        <c:axId val="174811392"/>
      </c:barChart>
      <c:catAx>
        <c:axId val="174809856"/>
        <c:scaling>
          <c:orientation val="minMax"/>
        </c:scaling>
        <c:axPos val="b"/>
        <c:numFmt formatCode="General" sourceLinked="1"/>
        <c:tickLblPos val="nextTo"/>
        <c:txPr>
          <a:bodyPr/>
          <a:lstStyle/>
          <a:p>
            <a:pPr>
              <a:defRPr sz="900"/>
            </a:pPr>
            <a:endParaRPr lang="en-US"/>
          </a:p>
        </c:txPr>
        <c:crossAx val="174811392"/>
        <c:crosses val="autoZero"/>
        <c:auto val="1"/>
        <c:lblAlgn val="ctr"/>
        <c:lblOffset val="100"/>
      </c:catAx>
      <c:valAx>
        <c:axId val="174811392"/>
        <c:scaling>
          <c:orientation val="minMax"/>
        </c:scaling>
        <c:axPos val="l"/>
        <c:majorGridlines/>
        <c:title>
          <c:tx>
            <c:rich>
              <a:bodyPr rot="0" vert="horz"/>
              <a:lstStyle/>
              <a:p>
                <a:pPr>
                  <a:defRPr/>
                </a:pPr>
                <a:r>
                  <a:rPr lang="en-US"/>
                  <a:t>%</a:t>
                </a:r>
              </a:p>
            </c:rich>
          </c:tx>
          <c:layout/>
        </c:title>
        <c:numFmt formatCode="General" sourceLinked="1"/>
        <c:tickLblPos val="nextTo"/>
        <c:crossAx val="174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North Warwickshire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78.076876143990233</c:v>
                </c:pt>
                <c:pt idx="1">
                  <c:v>77.837012682010339</c:v>
                </c:pt>
                <c:pt idx="2">
                  <c:v>76.218736752861389</c:v>
                </c:pt>
              </c:numCache>
            </c:numRef>
          </c:val>
        </c:ser>
        <c:marker val="1"/>
        <c:axId val="177227264"/>
        <c:axId val="177228800"/>
      </c:lineChart>
      <c:catAx>
        <c:axId val="177227264"/>
        <c:scaling>
          <c:orientation val="minMax"/>
        </c:scaling>
        <c:axPos val="b"/>
        <c:numFmt formatCode="General" sourceLinked="1"/>
        <c:tickLblPos val="nextTo"/>
        <c:txPr>
          <a:bodyPr/>
          <a:lstStyle/>
          <a:p>
            <a:pPr>
              <a:defRPr sz="800"/>
            </a:pPr>
            <a:endParaRPr lang="en-US"/>
          </a:p>
        </c:txPr>
        <c:crossAx val="177228800"/>
        <c:crosses val="autoZero"/>
        <c:auto val="1"/>
        <c:lblAlgn val="ctr"/>
        <c:lblOffset val="100"/>
      </c:catAx>
      <c:valAx>
        <c:axId val="177228800"/>
        <c:scaling>
          <c:orientation val="minMax"/>
        </c:scaling>
        <c:axPos val="l"/>
        <c:majorGridlines/>
        <c:title>
          <c:tx>
            <c:rich>
              <a:bodyPr rot="0" vert="horz"/>
              <a:lstStyle/>
              <a:p>
                <a:pPr>
                  <a:defRPr/>
                </a:pPr>
                <a:r>
                  <a:rPr lang="en-US"/>
                  <a:t>%</a:t>
                </a:r>
              </a:p>
            </c:rich>
          </c:tx>
          <c:layout/>
        </c:title>
        <c:numFmt formatCode="General" sourceLinked="1"/>
        <c:tickLblPos val="nextTo"/>
        <c:crossAx val="17722726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North Warwickshire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21.920683343502134</c:v>
                </c:pt>
                <c:pt idx="1">
                  <c:v>22.160638797557539</c:v>
                </c:pt>
                <c:pt idx="2">
                  <c:v>23.781263247138618</c:v>
                </c:pt>
              </c:numCache>
            </c:numRef>
          </c:val>
        </c:ser>
        <c:marker val="1"/>
        <c:axId val="177145344"/>
        <c:axId val="177146880"/>
      </c:lineChart>
      <c:catAx>
        <c:axId val="177145344"/>
        <c:scaling>
          <c:orientation val="minMax"/>
        </c:scaling>
        <c:axPos val="b"/>
        <c:numFmt formatCode="General" sourceLinked="1"/>
        <c:tickLblPos val="nextTo"/>
        <c:txPr>
          <a:bodyPr/>
          <a:lstStyle/>
          <a:p>
            <a:pPr>
              <a:defRPr sz="800"/>
            </a:pPr>
            <a:endParaRPr lang="en-US"/>
          </a:p>
        </c:txPr>
        <c:crossAx val="177146880"/>
        <c:crosses val="autoZero"/>
        <c:auto val="1"/>
        <c:lblAlgn val="ctr"/>
        <c:lblOffset val="100"/>
      </c:catAx>
      <c:valAx>
        <c:axId val="177146880"/>
        <c:scaling>
          <c:orientation val="minMax"/>
        </c:scaling>
        <c:axPos val="l"/>
        <c:majorGridlines/>
        <c:title>
          <c:tx>
            <c:rich>
              <a:bodyPr rot="0" vert="horz"/>
              <a:lstStyle/>
              <a:p>
                <a:pPr>
                  <a:defRPr/>
                </a:pPr>
                <a:r>
                  <a:rPr lang="en-US"/>
                  <a:t>%</a:t>
                </a:r>
              </a:p>
            </c:rich>
          </c:tx>
          <c:layout/>
        </c:title>
        <c:numFmt formatCode="General" sourceLinked="1"/>
        <c:tickLblPos val="nextTo"/>
        <c:crossAx val="1771453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Warwickshire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0.99</c:v>
                </c:pt>
                <c:pt idx="2">
                  <c:v>1.17</c:v>
                </c:pt>
                <c:pt idx="3">
                  <c:v>1.22</c:v>
                </c:pt>
                <c:pt idx="4">
                  <c:v>1.27</c:v>
                </c:pt>
              </c:numCache>
            </c:numRef>
          </c:val>
        </c:ser>
        <c:axId val="177190784"/>
        <c:axId val="17719232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7190784"/>
        <c:axId val="177192320"/>
      </c:lineChart>
      <c:catAx>
        <c:axId val="177190784"/>
        <c:scaling>
          <c:orientation val="minMax"/>
        </c:scaling>
        <c:axPos val="b"/>
        <c:numFmt formatCode="General" sourceLinked="1"/>
        <c:tickLblPos val="nextTo"/>
        <c:crossAx val="177192320"/>
        <c:crosses val="autoZero"/>
        <c:auto val="1"/>
        <c:lblAlgn val="ctr"/>
        <c:lblOffset val="100"/>
      </c:catAx>
      <c:valAx>
        <c:axId val="177192320"/>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7190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Warwickshire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17.100000000000001</c:v>
                </c:pt>
                <c:pt idx="2">
                  <c:v>20.3</c:v>
                </c:pt>
                <c:pt idx="3">
                  <c:v>23.2</c:v>
                </c:pt>
                <c:pt idx="4">
                  <c:v>24.5</c:v>
                </c:pt>
                <c:pt idx="5">
                  <c:v>27</c:v>
                </c:pt>
                <c:pt idx="6">
                  <c:v>30.6</c:v>
                </c:pt>
                <c:pt idx="7">
                  <c:v>31.6</c:v>
                </c:pt>
                <c:pt idx="8">
                  <c:v>30.2</c:v>
                </c:pt>
                <c:pt idx="9">
                  <c:v>26.9</c:v>
                </c:pt>
                <c:pt idx="10">
                  <c:v>23.7</c:v>
                </c:pt>
                <c:pt idx="11">
                  <c:v>19</c:v>
                </c:pt>
                <c:pt idx="12">
                  <c:v>21.3</c:v>
                </c:pt>
                <c:pt idx="13">
                  <c:v>27.1</c:v>
                </c:pt>
                <c:pt idx="14">
                  <c:v>24.3</c:v>
                </c:pt>
                <c:pt idx="15">
                  <c:v>22.8</c:v>
                </c:pt>
                <c:pt idx="16">
                  <c:v>21.4</c:v>
                </c:pt>
                <c:pt idx="17">
                  <c:v>18.399999999999999</c:v>
                </c:pt>
                <c:pt idx="18">
                  <c:v>19.3</c:v>
                </c:pt>
                <c:pt idx="19">
                  <c:v>21.4</c:v>
                </c:pt>
                <c:pt idx="20">
                  <c:v>21</c:v>
                </c:pt>
                <c:pt idx="21">
                  <c:v>19.8</c:v>
                </c:pt>
                <c:pt idx="22">
                  <c:v>17</c:v>
                </c:pt>
                <c:pt idx="23">
                  <c:v>14.7</c:v>
                </c:pt>
                <c:pt idx="24">
                  <c:v>14.1</c:v>
                </c:pt>
                <c:pt idx="25">
                  <c:v>13.7</c:v>
                </c:pt>
                <c:pt idx="26">
                  <c:v>14.7</c:v>
                </c:pt>
                <c:pt idx="27">
                  <c:v>14.6</c:v>
                </c:pt>
                <c:pt idx="28">
                  <c:v>15.6</c:v>
                </c:pt>
                <c:pt idx="29">
                  <c:v>17.899999999999999</c:v>
                </c:pt>
              </c:numCache>
            </c:numRef>
          </c:val>
        </c:ser>
        <c:axId val="177318528"/>
        <c:axId val="1773367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7318528"/>
        <c:axId val="177336704"/>
      </c:lineChart>
      <c:catAx>
        <c:axId val="177318528"/>
        <c:scaling>
          <c:orientation val="minMax"/>
        </c:scaling>
        <c:axPos val="b"/>
        <c:tickLblPos val="nextTo"/>
        <c:txPr>
          <a:bodyPr/>
          <a:lstStyle/>
          <a:p>
            <a:pPr>
              <a:defRPr sz="1000"/>
            </a:pPr>
            <a:endParaRPr lang="en-US"/>
          </a:p>
        </c:txPr>
        <c:crossAx val="177336704"/>
        <c:crosses val="autoZero"/>
        <c:auto val="1"/>
        <c:lblAlgn val="ctr"/>
        <c:lblOffset val="100"/>
      </c:catAx>
      <c:valAx>
        <c:axId val="177336704"/>
        <c:scaling>
          <c:orientation val="minMax"/>
        </c:scaling>
        <c:axPos val="l"/>
        <c:majorGridlines/>
        <c:title>
          <c:tx>
            <c:rich>
              <a:bodyPr rot="0" vert="horz"/>
              <a:lstStyle/>
              <a:p>
                <a:pPr>
                  <a:defRPr/>
                </a:pPr>
                <a:r>
                  <a:rPr lang="en-US"/>
                  <a:t>%</a:t>
                </a:r>
              </a:p>
            </c:rich>
          </c:tx>
          <c:layout/>
        </c:title>
        <c:numFmt formatCode="General" sourceLinked="1"/>
        <c:tickLblPos val="nextTo"/>
        <c:crossAx val="177318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Warwickshire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92.2</c:v>
                </c:pt>
                <c:pt idx="2">
                  <c:v>75.5</c:v>
                </c:pt>
                <c:pt idx="3">
                  <c:v>77</c:v>
                </c:pt>
                <c:pt idx="4">
                  <c:v>78.8</c:v>
                </c:pt>
                <c:pt idx="5">
                  <c:v>79</c:v>
                </c:pt>
                <c:pt idx="6">
                  <c:v>76.099999999999994</c:v>
                </c:pt>
                <c:pt idx="7">
                  <c:v>73.599999999999994</c:v>
                </c:pt>
                <c:pt idx="8">
                  <c:v>68.3</c:v>
                </c:pt>
                <c:pt idx="9">
                  <c:v>61.8</c:v>
                </c:pt>
                <c:pt idx="10">
                  <c:v>79.400000000000006</c:v>
                </c:pt>
                <c:pt idx="11">
                  <c:v>81.400000000000006</c:v>
                </c:pt>
                <c:pt idx="12">
                  <c:v>73.5</c:v>
                </c:pt>
                <c:pt idx="13">
                  <c:v>72</c:v>
                </c:pt>
                <c:pt idx="14">
                  <c:v>57.4</c:v>
                </c:pt>
                <c:pt idx="15">
                  <c:v>56.1</c:v>
                </c:pt>
                <c:pt idx="16">
                  <c:v>71.900000000000006</c:v>
                </c:pt>
                <c:pt idx="17">
                  <c:v>70.099999999999994</c:v>
                </c:pt>
                <c:pt idx="18">
                  <c:v>66.099999999999994</c:v>
                </c:pt>
                <c:pt idx="19">
                  <c:v>73.599999999999994</c:v>
                </c:pt>
                <c:pt idx="20">
                  <c:v>64.900000000000006</c:v>
                </c:pt>
                <c:pt idx="21">
                  <c:v>78</c:v>
                </c:pt>
                <c:pt idx="22">
                  <c:v>92.9</c:v>
                </c:pt>
                <c:pt idx="23">
                  <c:v>86</c:v>
                </c:pt>
                <c:pt idx="24">
                  <c:v>85.2</c:v>
                </c:pt>
                <c:pt idx="25">
                  <c:v>78.7</c:v>
                </c:pt>
                <c:pt idx="26">
                  <c:v>80.099999999999994</c:v>
                </c:pt>
                <c:pt idx="27">
                  <c:v>79.2</c:v>
                </c:pt>
                <c:pt idx="28">
                  <c:v>77.5</c:v>
                </c:pt>
                <c:pt idx="29">
                  <c:v>68.8</c:v>
                </c:pt>
              </c:numCache>
            </c:numRef>
          </c:val>
        </c:ser>
        <c:axId val="177360256"/>
        <c:axId val="17737433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7360256"/>
        <c:axId val="177374336"/>
      </c:lineChart>
      <c:catAx>
        <c:axId val="177360256"/>
        <c:scaling>
          <c:orientation val="minMax"/>
        </c:scaling>
        <c:axPos val="b"/>
        <c:tickLblPos val="nextTo"/>
        <c:crossAx val="177374336"/>
        <c:crosses val="autoZero"/>
        <c:auto val="1"/>
        <c:lblAlgn val="ctr"/>
        <c:lblOffset val="100"/>
      </c:catAx>
      <c:valAx>
        <c:axId val="177374336"/>
        <c:scaling>
          <c:orientation val="minMax"/>
        </c:scaling>
        <c:axPos val="l"/>
        <c:majorGridlines/>
        <c:title>
          <c:tx>
            <c:rich>
              <a:bodyPr rot="0" vert="horz"/>
              <a:lstStyle/>
              <a:p>
                <a:pPr>
                  <a:defRPr/>
                </a:pPr>
                <a:r>
                  <a:rPr lang="en-US"/>
                  <a:t>%</a:t>
                </a:r>
              </a:p>
            </c:rich>
          </c:tx>
          <c:layout/>
        </c:title>
        <c:numFmt formatCode="General" sourceLinked="1"/>
        <c:tickLblPos val="nextTo"/>
        <c:crossAx val="17736025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Warwickshire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c:v>
                </c:pt>
                <c:pt idx="2">
                  <c:v>1.8</c:v>
                </c:pt>
                <c:pt idx="3">
                  <c:v>1.6</c:v>
                </c:pt>
                <c:pt idx="4">
                  <c:v>1.6</c:v>
                </c:pt>
                <c:pt idx="5">
                  <c:v>1.7</c:v>
                </c:pt>
                <c:pt idx="6">
                  <c:v>1.8</c:v>
                </c:pt>
                <c:pt idx="7">
                  <c:v>1.7</c:v>
                </c:pt>
                <c:pt idx="8">
                  <c:v>1.6</c:v>
                </c:pt>
                <c:pt idx="9">
                  <c:v>1.4</c:v>
                </c:pt>
                <c:pt idx="10">
                  <c:v>1.2</c:v>
                </c:pt>
                <c:pt idx="11">
                  <c:v>1.2</c:v>
                </c:pt>
                <c:pt idx="12">
                  <c:v>1.2</c:v>
                </c:pt>
                <c:pt idx="13">
                  <c:v>1</c:v>
                </c:pt>
                <c:pt idx="14">
                  <c:v>0.9</c:v>
                </c:pt>
                <c:pt idx="15">
                  <c:v>0.9</c:v>
                </c:pt>
                <c:pt idx="16">
                  <c:v>0.9</c:v>
                </c:pt>
                <c:pt idx="17">
                  <c:v>1</c:v>
                </c:pt>
                <c:pt idx="18">
                  <c:v>1</c:v>
                </c:pt>
                <c:pt idx="19">
                  <c:v>1</c:v>
                </c:pt>
                <c:pt idx="20">
                  <c:v>0.9</c:v>
                </c:pt>
                <c:pt idx="21">
                  <c:v>0.9</c:v>
                </c:pt>
                <c:pt idx="22">
                  <c:v>0.9</c:v>
                </c:pt>
                <c:pt idx="23">
                  <c:v>0.9</c:v>
                </c:pt>
                <c:pt idx="24">
                  <c:v>1</c:v>
                </c:pt>
                <c:pt idx="25">
                  <c:v>1</c:v>
                </c:pt>
                <c:pt idx="26">
                  <c:v>1</c:v>
                </c:pt>
                <c:pt idx="27">
                  <c:v>0.9</c:v>
                </c:pt>
                <c:pt idx="28">
                  <c:v>0.9</c:v>
                </c:pt>
                <c:pt idx="29">
                  <c:v>1</c:v>
                </c:pt>
                <c:pt idx="30">
                  <c:v>1</c:v>
                </c:pt>
                <c:pt idx="31">
                  <c:v>1.1000000000000001</c:v>
                </c:pt>
                <c:pt idx="32">
                  <c:v>1.1000000000000001</c:v>
                </c:pt>
                <c:pt idx="33">
                  <c:v>1.2</c:v>
                </c:pt>
                <c:pt idx="34">
                  <c:v>1.1000000000000001</c:v>
                </c:pt>
                <c:pt idx="35">
                  <c:v>1.1000000000000001</c:v>
                </c:pt>
                <c:pt idx="36">
                  <c:v>1.2</c:v>
                </c:pt>
                <c:pt idx="37">
                  <c:v>1.2</c:v>
                </c:pt>
                <c:pt idx="38">
                  <c:v>1.2</c:v>
                </c:pt>
                <c:pt idx="39">
                  <c:v>1.1000000000000001</c:v>
                </c:pt>
                <c:pt idx="40">
                  <c:v>1</c:v>
                </c:pt>
                <c:pt idx="41">
                  <c:v>1.1000000000000001</c:v>
                </c:pt>
                <c:pt idx="42">
                  <c:v>1.1000000000000001</c:v>
                </c:pt>
                <c:pt idx="43">
                  <c:v>1.1000000000000001</c:v>
                </c:pt>
                <c:pt idx="44">
                  <c:v>1.1000000000000001</c:v>
                </c:pt>
                <c:pt idx="45">
                  <c:v>1.1000000000000001</c:v>
                </c:pt>
                <c:pt idx="46">
                  <c:v>1</c:v>
                </c:pt>
                <c:pt idx="47">
                  <c:v>1</c:v>
                </c:pt>
                <c:pt idx="48">
                  <c:v>1.1000000000000001</c:v>
                </c:pt>
                <c:pt idx="49">
                  <c:v>1.1000000000000001</c:v>
                </c:pt>
                <c:pt idx="50">
                  <c:v>1.1000000000000001</c:v>
                </c:pt>
                <c:pt idx="51">
                  <c:v>1</c:v>
                </c:pt>
                <c:pt idx="52">
                  <c:v>1</c:v>
                </c:pt>
                <c:pt idx="53">
                  <c:v>1.1000000000000001</c:v>
                </c:pt>
                <c:pt idx="54">
                  <c:v>1.3</c:v>
                </c:pt>
                <c:pt idx="55">
                  <c:v>1.3</c:v>
                </c:pt>
                <c:pt idx="56">
                  <c:v>1.4</c:v>
                </c:pt>
                <c:pt idx="57">
                  <c:v>1.4</c:v>
                </c:pt>
                <c:pt idx="58">
                  <c:v>1.3</c:v>
                </c:pt>
                <c:pt idx="59">
                  <c:v>1.3</c:v>
                </c:pt>
                <c:pt idx="60">
                  <c:v>1.3</c:v>
                </c:pt>
                <c:pt idx="61">
                  <c:v>1.4</c:v>
                </c:pt>
              </c:numCache>
            </c:numRef>
          </c:val>
        </c:ser>
        <c:axId val="177557504"/>
        <c:axId val="17755904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7557504"/>
        <c:axId val="177559040"/>
      </c:lineChart>
      <c:catAx>
        <c:axId val="177557504"/>
        <c:scaling>
          <c:orientation val="minMax"/>
        </c:scaling>
        <c:axPos val="b"/>
        <c:tickLblPos val="nextTo"/>
        <c:crossAx val="177559040"/>
        <c:crosses val="autoZero"/>
        <c:auto val="1"/>
        <c:lblAlgn val="ctr"/>
        <c:lblOffset val="100"/>
      </c:catAx>
      <c:valAx>
        <c:axId val="177559040"/>
        <c:scaling>
          <c:orientation val="minMax"/>
        </c:scaling>
        <c:axPos val="l"/>
        <c:majorGridlines/>
        <c:numFmt formatCode="General" sourceLinked="1"/>
        <c:tickLblPos val="nextTo"/>
        <c:crossAx val="1775575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0.8</c:v>
                </c:pt>
                <c:pt idx="1">
                  <c:v>0.1</c:v>
                </c:pt>
                <c:pt idx="2">
                  <c:v>4.5</c:v>
                </c:pt>
                <c:pt idx="3">
                  <c:v>4</c:v>
                </c:pt>
                <c:pt idx="4">
                  <c:v>2.2000000000000002</c:v>
                </c:pt>
                <c:pt idx="5">
                  <c:v>2.5</c:v>
                </c:pt>
                <c:pt idx="6">
                  <c:v>12.5</c:v>
                </c:pt>
                <c:pt idx="7">
                  <c:v>17.5</c:v>
                </c:pt>
                <c:pt idx="8">
                  <c:v>17.5</c:v>
                </c:pt>
                <c:pt idx="9">
                  <c:v>0.8</c:v>
                </c:pt>
                <c:pt idx="10">
                  <c:v>1</c:v>
                </c:pt>
                <c:pt idx="11">
                  <c:v>0.5</c:v>
                </c:pt>
                <c:pt idx="12">
                  <c:v>6</c:v>
                </c:pt>
                <c:pt idx="13">
                  <c:v>9</c:v>
                </c:pt>
                <c:pt idx="14">
                  <c:v>1</c:v>
                </c:pt>
                <c:pt idx="15">
                  <c:v>10</c:v>
                </c:pt>
                <c:pt idx="16">
                  <c:v>10</c:v>
                </c:pt>
                <c:pt idx="17">
                  <c:v>5</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0.1</c:v>
                </c:pt>
                <c:pt idx="2">
                  <c:v>3.6</c:v>
                </c:pt>
                <c:pt idx="3">
                  <c:v>2.2999999999999998</c:v>
                </c:pt>
                <c:pt idx="4">
                  <c:v>3.6</c:v>
                </c:pt>
                <c:pt idx="5">
                  <c:v>1.8</c:v>
                </c:pt>
                <c:pt idx="6">
                  <c:v>9.1</c:v>
                </c:pt>
                <c:pt idx="7">
                  <c:v>15.9</c:v>
                </c:pt>
                <c:pt idx="8">
                  <c:v>15.9</c:v>
                </c:pt>
                <c:pt idx="9">
                  <c:v>0.7</c:v>
                </c:pt>
                <c:pt idx="10">
                  <c:v>0.5</c:v>
                </c:pt>
                <c:pt idx="11">
                  <c:v>0.5</c:v>
                </c:pt>
                <c:pt idx="12">
                  <c:v>2.2999999999999998</c:v>
                </c:pt>
                <c:pt idx="13">
                  <c:v>11.4</c:v>
                </c:pt>
                <c:pt idx="14">
                  <c:v>0.9</c:v>
                </c:pt>
                <c:pt idx="15">
                  <c:v>11.4</c:v>
                </c:pt>
                <c:pt idx="16">
                  <c:v>11.4</c:v>
                </c:pt>
                <c:pt idx="17">
                  <c:v>6.4</c:v>
                </c:pt>
              </c:numCache>
            </c:numRef>
          </c:val>
        </c:ser>
        <c:ser>
          <c:idx val="0"/>
          <c:order val="2"/>
          <c:tx>
            <c:strRef>
              <c:f>'front page'!$BQ$19</c:f>
              <c:strCache>
                <c:ptCount val="1"/>
                <c:pt idx="0">
                  <c:v>2017</c:v>
                </c:pt>
              </c:strCache>
            </c:strRef>
          </c:tx>
          <c:val>
            <c:numRef>
              <c:f>'front page'!$BQ$20:$BQ$37</c:f>
              <c:numCache>
                <c:formatCode>General</c:formatCode>
                <c:ptCount val="18"/>
                <c:pt idx="0">
                  <c:v>0.4</c:v>
                </c:pt>
                <c:pt idx="1">
                  <c:v>0.3</c:v>
                </c:pt>
                <c:pt idx="2">
                  <c:v>3.8</c:v>
                </c:pt>
                <c:pt idx="3">
                  <c:v>2.2999999999999998</c:v>
                </c:pt>
                <c:pt idx="4">
                  <c:v>3.5</c:v>
                </c:pt>
                <c:pt idx="5">
                  <c:v>1.3</c:v>
                </c:pt>
                <c:pt idx="6">
                  <c:v>11.5</c:v>
                </c:pt>
                <c:pt idx="7">
                  <c:v>13.5</c:v>
                </c:pt>
                <c:pt idx="8">
                  <c:v>17.3</c:v>
                </c:pt>
                <c:pt idx="9">
                  <c:v>1</c:v>
                </c:pt>
                <c:pt idx="10">
                  <c:v>0.6</c:v>
                </c:pt>
                <c:pt idx="11">
                  <c:v>1</c:v>
                </c:pt>
                <c:pt idx="12">
                  <c:v>5.4</c:v>
                </c:pt>
                <c:pt idx="13">
                  <c:v>9.6</c:v>
                </c:pt>
                <c:pt idx="14">
                  <c:v>1.2</c:v>
                </c:pt>
                <c:pt idx="15">
                  <c:v>11.5</c:v>
                </c:pt>
                <c:pt idx="16">
                  <c:v>9.6</c:v>
                </c:pt>
                <c:pt idx="17">
                  <c:v>5.4</c:v>
                </c:pt>
              </c:numCache>
            </c:numRef>
          </c:val>
        </c:ser>
        <c:axId val="174919680"/>
        <c:axId val="174921216"/>
      </c:barChart>
      <c:catAx>
        <c:axId val="174919680"/>
        <c:scaling>
          <c:orientation val="minMax"/>
        </c:scaling>
        <c:axPos val="b"/>
        <c:tickLblPos val="nextTo"/>
        <c:txPr>
          <a:bodyPr/>
          <a:lstStyle/>
          <a:p>
            <a:pPr>
              <a:defRPr sz="900"/>
            </a:pPr>
            <a:endParaRPr lang="en-US"/>
          </a:p>
        </c:txPr>
        <c:crossAx val="174921216"/>
        <c:crosses val="autoZero"/>
        <c:auto val="1"/>
        <c:lblAlgn val="ctr"/>
        <c:lblOffset val="100"/>
      </c:catAx>
      <c:valAx>
        <c:axId val="174921216"/>
        <c:scaling>
          <c:orientation val="minMax"/>
        </c:scaling>
        <c:axPos val="l"/>
        <c:majorGridlines/>
        <c:title>
          <c:tx>
            <c:rich>
              <a:bodyPr rot="0" vert="horz"/>
              <a:lstStyle/>
              <a:p>
                <a:pPr>
                  <a:defRPr/>
                </a:pPr>
                <a:r>
                  <a:rPr lang="en-US"/>
                  <a:t>%</a:t>
                </a:r>
              </a:p>
            </c:rich>
          </c:tx>
          <c:layout/>
        </c:title>
        <c:numFmt formatCode="General" sourceLinked="1"/>
        <c:tickLblPos val="nextTo"/>
        <c:crossAx val="1749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6.8136272545090177</c:v>
                </c:pt>
                <c:pt idx="1">
                  <c:v>0.40080160320641284</c:v>
                </c:pt>
                <c:pt idx="2">
                  <c:v>9.4188376753507015</c:v>
                </c:pt>
                <c:pt idx="3">
                  <c:v>14.829659318637274</c:v>
                </c:pt>
                <c:pt idx="4">
                  <c:v>4.0080160320641278</c:v>
                </c:pt>
                <c:pt idx="5">
                  <c:v>4.408817635270541</c:v>
                </c:pt>
                <c:pt idx="6">
                  <c:v>8.0160320641282556</c:v>
                </c:pt>
                <c:pt idx="7">
                  <c:v>7.4148296593186371</c:v>
                </c:pt>
                <c:pt idx="8">
                  <c:v>6.2124248496993992</c:v>
                </c:pt>
                <c:pt idx="9">
                  <c:v>4.408817635270541</c:v>
                </c:pt>
                <c:pt idx="10">
                  <c:v>1.6032064128256514</c:v>
                </c:pt>
                <c:pt idx="11">
                  <c:v>3.4068136272545089</c:v>
                </c:pt>
                <c:pt idx="12">
                  <c:v>11.22244488977956</c:v>
                </c:pt>
                <c:pt idx="13">
                  <c:v>8.0160320641282556</c:v>
                </c:pt>
                <c:pt idx="14">
                  <c:v>0.20040080160320642</c:v>
                </c:pt>
                <c:pt idx="15">
                  <c:v>1.6032064128256514</c:v>
                </c:pt>
                <c:pt idx="16">
                  <c:v>2.0040080160320639</c:v>
                </c:pt>
                <c:pt idx="17">
                  <c:v>6.0120240480961922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7.0140280561122248</c:v>
                </c:pt>
                <c:pt idx="1">
                  <c:v>0.60120240480961928</c:v>
                </c:pt>
                <c:pt idx="2">
                  <c:v>9.0180360721442892</c:v>
                </c:pt>
                <c:pt idx="3">
                  <c:v>13.827655310621243</c:v>
                </c:pt>
                <c:pt idx="4">
                  <c:v>4.2084168336673349</c:v>
                </c:pt>
                <c:pt idx="5">
                  <c:v>4.408817635270541</c:v>
                </c:pt>
                <c:pt idx="6">
                  <c:v>7.8156312625250504</c:v>
                </c:pt>
                <c:pt idx="7">
                  <c:v>6.8136272545090177</c:v>
                </c:pt>
                <c:pt idx="8">
                  <c:v>6.8136272545090177</c:v>
                </c:pt>
                <c:pt idx="9">
                  <c:v>5.0100200400801604</c:v>
                </c:pt>
                <c:pt idx="10">
                  <c:v>1.6032064128256514</c:v>
                </c:pt>
                <c:pt idx="11">
                  <c:v>3.4068136272545089</c:v>
                </c:pt>
                <c:pt idx="12">
                  <c:v>11.623246492985972</c:v>
                </c:pt>
                <c:pt idx="13">
                  <c:v>7.8156312625250504</c:v>
                </c:pt>
                <c:pt idx="14">
                  <c:v>0.20040080160320642</c:v>
                </c:pt>
                <c:pt idx="15">
                  <c:v>1.402805611222445</c:v>
                </c:pt>
                <c:pt idx="16">
                  <c:v>2.6052104208416833</c:v>
                </c:pt>
                <c:pt idx="17">
                  <c:v>5.811623246492986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7.0866141732283463</c:v>
                </c:pt>
                <c:pt idx="1">
                  <c:v>0.78740157480314965</c:v>
                </c:pt>
                <c:pt idx="2">
                  <c:v>8.8582677165354333</c:v>
                </c:pt>
                <c:pt idx="3">
                  <c:v>13.385826771653543</c:v>
                </c:pt>
                <c:pt idx="4">
                  <c:v>4.1338582677165352</c:v>
                </c:pt>
                <c:pt idx="5">
                  <c:v>4.5275590551181102</c:v>
                </c:pt>
                <c:pt idx="6">
                  <c:v>7.8740157480314963</c:v>
                </c:pt>
                <c:pt idx="7">
                  <c:v>6.6929133858267713</c:v>
                </c:pt>
                <c:pt idx="8">
                  <c:v>7.0866141732283463</c:v>
                </c:pt>
                <c:pt idx="9">
                  <c:v>4.5275590551181102</c:v>
                </c:pt>
                <c:pt idx="10">
                  <c:v>1.3779527559055118</c:v>
                </c:pt>
                <c:pt idx="11">
                  <c:v>3.3464566929133857</c:v>
                </c:pt>
                <c:pt idx="12">
                  <c:v>11.811023622047244</c:v>
                </c:pt>
                <c:pt idx="13">
                  <c:v>7.8740157480314963</c:v>
                </c:pt>
                <c:pt idx="14">
                  <c:v>0.39370078740157483</c:v>
                </c:pt>
                <c:pt idx="15">
                  <c:v>1.3779527559055118</c:v>
                </c:pt>
                <c:pt idx="16">
                  <c:v>2.5590551181102361</c:v>
                </c:pt>
                <c:pt idx="17">
                  <c:v>6.2992125984251972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7.4</c:v>
                </c:pt>
                <c:pt idx="1">
                  <c:v>0.8</c:v>
                </c:pt>
                <c:pt idx="2">
                  <c:v>9.4</c:v>
                </c:pt>
                <c:pt idx="3">
                  <c:v>13.8</c:v>
                </c:pt>
                <c:pt idx="4">
                  <c:v>4.2</c:v>
                </c:pt>
                <c:pt idx="5">
                  <c:v>4.5999999999999996</c:v>
                </c:pt>
                <c:pt idx="6">
                  <c:v>8.1999999999999993</c:v>
                </c:pt>
                <c:pt idx="7">
                  <c:v>6.4</c:v>
                </c:pt>
                <c:pt idx="8">
                  <c:v>5.8</c:v>
                </c:pt>
                <c:pt idx="9">
                  <c:v>4.8</c:v>
                </c:pt>
                <c:pt idx="10">
                  <c:v>1.6</c:v>
                </c:pt>
                <c:pt idx="11">
                  <c:v>3.2</c:v>
                </c:pt>
                <c:pt idx="12">
                  <c:v>12</c:v>
                </c:pt>
                <c:pt idx="13">
                  <c:v>7.6</c:v>
                </c:pt>
                <c:pt idx="14">
                  <c:v>0.4</c:v>
                </c:pt>
                <c:pt idx="15">
                  <c:v>1.4</c:v>
                </c:pt>
                <c:pt idx="16">
                  <c:v>2.8</c:v>
                </c:pt>
                <c:pt idx="17">
                  <c:v>5.6</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7.4950690335305721</c:v>
                </c:pt>
                <c:pt idx="1">
                  <c:v>0.78895463510848129</c:v>
                </c:pt>
                <c:pt idx="2">
                  <c:v>8.8757396449704142</c:v>
                </c:pt>
                <c:pt idx="3">
                  <c:v>13.806706114398422</c:v>
                </c:pt>
                <c:pt idx="4">
                  <c:v>4.1420118343195265</c:v>
                </c:pt>
                <c:pt idx="5">
                  <c:v>4.3392504930966469</c:v>
                </c:pt>
                <c:pt idx="6">
                  <c:v>8.0867850098619325</c:v>
                </c:pt>
                <c:pt idx="7">
                  <c:v>6.9033530571992108</c:v>
                </c:pt>
                <c:pt idx="8">
                  <c:v>5.7199211045364891</c:v>
                </c:pt>
                <c:pt idx="9">
                  <c:v>4.7337278106508878</c:v>
                </c:pt>
                <c:pt idx="10">
                  <c:v>1.3806706114398422</c:v>
                </c:pt>
                <c:pt idx="11">
                  <c:v>3.3530571992110452</c:v>
                </c:pt>
                <c:pt idx="12">
                  <c:v>11.834319526627219</c:v>
                </c:pt>
                <c:pt idx="13">
                  <c:v>8.2840236686390529</c:v>
                </c:pt>
                <c:pt idx="14">
                  <c:v>0.39447731755424065</c:v>
                </c:pt>
                <c:pt idx="15">
                  <c:v>1.5779092702169626</c:v>
                </c:pt>
                <c:pt idx="16">
                  <c:v>2.7613412228796843</c:v>
                </c:pt>
                <c:pt idx="17">
                  <c:v>5.5226824457593686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7.08955223880597</c:v>
                </c:pt>
                <c:pt idx="1">
                  <c:v>0.74626865671641796</c:v>
                </c:pt>
                <c:pt idx="2">
                  <c:v>8.2089552238805972</c:v>
                </c:pt>
                <c:pt idx="3">
                  <c:v>13.432835820895523</c:v>
                </c:pt>
                <c:pt idx="4">
                  <c:v>4.2910447761194028</c:v>
                </c:pt>
                <c:pt idx="5">
                  <c:v>4.1044776119402986</c:v>
                </c:pt>
                <c:pt idx="6">
                  <c:v>7.2761194029850742</c:v>
                </c:pt>
                <c:pt idx="7">
                  <c:v>6.9029850746268657</c:v>
                </c:pt>
                <c:pt idx="8">
                  <c:v>6.5298507462686564</c:v>
                </c:pt>
                <c:pt idx="9">
                  <c:v>4.8507462686567164</c:v>
                </c:pt>
                <c:pt idx="10">
                  <c:v>1.4925373134328359</c:v>
                </c:pt>
                <c:pt idx="11">
                  <c:v>3.544776119402985</c:v>
                </c:pt>
                <c:pt idx="12">
                  <c:v>12.313432835820896</c:v>
                </c:pt>
                <c:pt idx="13">
                  <c:v>8.3955223880597014</c:v>
                </c:pt>
                <c:pt idx="14">
                  <c:v>0.55970149253731338</c:v>
                </c:pt>
                <c:pt idx="15">
                  <c:v>1.4925373134328359</c:v>
                </c:pt>
                <c:pt idx="16">
                  <c:v>2.9850746268656718</c:v>
                </c:pt>
                <c:pt idx="17">
                  <c:v>5.7835820895522385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6.7978533094812166</c:v>
                </c:pt>
                <c:pt idx="1">
                  <c:v>0.7155635062611807</c:v>
                </c:pt>
                <c:pt idx="2">
                  <c:v>8.4078711985688734</c:v>
                </c:pt>
                <c:pt idx="3">
                  <c:v>14.132379248658319</c:v>
                </c:pt>
                <c:pt idx="4">
                  <c:v>4.4722719141323797</c:v>
                </c:pt>
                <c:pt idx="5">
                  <c:v>4.1144901610017888</c:v>
                </c:pt>
                <c:pt idx="6">
                  <c:v>7.1556350626118066</c:v>
                </c:pt>
                <c:pt idx="7">
                  <c:v>6.7978533094812166</c:v>
                </c:pt>
                <c:pt idx="8">
                  <c:v>6.2611806797853307</c:v>
                </c:pt>
                <c:pt idx="9">
                  <c:v>4.8300536672629697</c:v>
                </c:pt>
                <c:pt idx="10">
                  <c:v>1.4311270125223614</c:v>
                </c:pt>
                <c:pt idx="11">
                  <c:v>3.7567084078711988</c:v>
                </c:pt>
                <c:pt idx="12">
                  <c:v>12.522361359570661</c:v>
                </c:pt>
                <c:pt idx="13">
                  <c:v>8.2289803220035775</c:v>
                </c:pt>
                <c:pt idx="14">
                  <c:v>0.53667262969588547</c:v>
                </c:pt>
                <c:pt idx="15">
                  <c:v>1.4311270125223614</c:v>
                </c:pt>
                <c:pt idx="16">
                  <c:v>2.8622540250447228</c:v>
                </c:pt>
                <c:pt idx="17">
                  <c:v>5.5456171735241506</c:v>
                </c:pt>
              </c:numCache>
            </c:numRef>
          </c:val>
        </c:ser>
        <c:ser>
          <c:idx val="0"/>
          <c:order val="7"/>
          <c:tx>
            <c:strRef>
              <c:f>'front page'!$J$10</c:f>
              <c:strCache>
                <c:ptCount val="1"/>
                <c:pt idx="0">
                  <c:v>2017</c:v>
                </c:pt>
              </c:strCache>
            </c:strRef>
          </c:tx>
          <c:val>
            <c:numRef>
              <c:f>'front page'!$J$11:$J$28</c:f>
              <c:numCache>
                <c:formatCode>General</c:formatCode>
                <c:ptCount val="18"/>
                <c:pt idx="0">
                  <c:v>6.6433566433566433</c:v>
                </c:pt>
                <c:pt idx="1">
                  <c:v>0.69930069930069927</c:v>
                </c:pt>
                <c:pt idx="2">
                  <c:v>8.0419580419580416</c:v>
                </c:pt>
                <c:pt idx="3">
                  <c:v>13.811188811188812</c:v>
                </c:pt>
                <c:pt idx="4">
                  <c:v>4.3706293706293708</c:v>
                </c:pt>
                <c:pt idx="5">
                  <c:v>4.0209790209790208</c:v>
                </c:pt>
                <c:pt idx="6">
                  <c:v>6.6433566433566433</c:v>
                </c:pt>
                <c:pt idx="7">
                  <c:v>7.1678321678321675</c:v>
                </c:pt>
                <c:pt idx="8">
                  <c:v>5.9440559440559442</c:v>
                </c:pt>
                <c:pt idx="9">
                  <c:v>5.06993006993007</c:v>
                </c:pt>
                <c:pt idx="10">
                  <c:v>1.3986013986013985</c:v>
                </c:pt>
                <c:pt idx="11">
                  <c:v>3.4965034965034967</c:v>
                </c:pt>
                <c:pt idx="12">
                  <c:v>13.111888111888112</c:v>
                </c:pt>
                <c:pt idx="13">
                  <c:v>9.0909090909090917</c:v>
                </c:pt>
                <c:pt idx="14">
                  <c:v>0.52447552447552448</c:v>
                </c:pt>
                <c:pt idx="15">
                  <c:v>1.5734265734265733</c:v>
                </c:pt>
                <c:pt idx="16">
                  <c:v>2.7972027972027971</c:v>
                </c:pt>
                <c:pt idx="17">
                  <c:v>5.5944055944055942</c:v>
                </c:pt>
              </c:numCache>
            </c:numRef>
          </c:val>
        </c:ser>
        <c:ser>
          <c:idx val="1"/>
          <c:order val="8"/>
          <c:tx>
            <c:strRef>
              <c:f>'front page'!$K$10</c:f>
              <c:strCache>
                <c:ptCount val="1"/>
                <c:pt idx="0">
                  <c:v>2018</c:v>
                </c:pt>
              </c:strCache>
            </c:strRef>
          </c:tx>
          <c:val>
            <c:numRef>
              <c:f>'front page'!$K$11:$K$28</c:f>
              <c:numCache>
                <c:formatCode>General</c:formatCode>
                <c:ptCount val="18"/>
                <c:pt idx="0">
                  <c:v>6.74955595026643</c:v>
                </c:pt>
                <c:pt idx="1">
                  <c:v>0.88809946714031973</c:v>
                </c:pt>
                <c:pt idx="2">
                  <c:v>7.9928952042628776</c:v>
                </c:pt>
                <c:pt idx="3">
                  <c:v>14.031971580817052</c:v>
                </c:pt>
                <c:pt idx="4">
                  <c:v>4.2628774422735347</c:v>
                </c:pt>
                <c:pt idx="5">
                  <c:v>3.9076376554174068</c:v>
                </c:pt>
                <c:pt idx="6">
                  <c:v>6.571936056838366</c:v>
                </c:pt>
                <c:pt idx="7">
                  <c:v>7.1047957371225579</c:v>
                </c:pt>
                <c:pt idx="8">
                  <c:v>5.6838365896980463</c:v>
                </c:pt>
                <c:pt idx="9">
                  <c:v>4.9733570159857905</c:v>
                </c:pt>
                <c:pt idx="10">
                  <c:v>1.4209591474245116</c:v>
                </c:pt>
                <c:pt idx="11">
                  <c:v>3.5523978685612789</c:v>
                </c:pt>
                <c:pt idx="12">
                  <c:v>13.143872113676732</c:v>
                </c:pt>
                <c:pt idx="13">
                  <c:v>9.4138543516873892</c:v>
                </c:pt>
                <c:pt idx="14">
                  <c:v>0.53285968028419184</c:v>
                </c:pt>
                <c:pt idx="15">
                  <c:v>1.7761989342806395</c:v>
                </c:pt>
                <c:pt idx="16">
                  <c:v>2.4866785079928952</c:v>
                </c:pt>
                <c:pt idx="17">
                  <c:v>5.5062166962699823</c:v>
                </c:pt>
              </c:numCache>
            </c:numRef>
          </c:val>
        </c:ser>
        <c:axId val="174972928"/>
        <c:axId val="174974464"/>
      </c:barChart>
      <c:catAx>
        <c:axId val="174972928"/>
        <c:scaling>
          <c:orientation val="minMax"/>
        </c:scaling>
        <c:axPos val="b"/>
        <c:numFmt formatCode="General" sourceLinked="1"/>
        <c:tickLblPos val="nextTo"/>
        <c:txPr>
          <a:bodyPr/>
          <a:lstStyle/>
          <a:p>
            <a:pPr>
              <a:defRPr sz="800"/>
            </a:pPr>
            <a:endParaRPr lang="en-US"/>
          </a:p>
        </c:txPr>
        <c:crossAx val="174974464"/>
        <c:crosses val="autoZero"/>
        <c:auto val="1"/>
        <c:lblAlgn val="ctr"/>
        <c:lblOffset val="100"/>
      </c:catAx>
      <c:valAx>
        <c:axId val="174974464"/>
        <c:scaling>
          <c:orientation val="minMax"/>
        </c:scaling>
        <c:axPos val="l"/>
        <c:majorGridlines/>
        <c:title>
          <c:tx>
            <c:rich>
              <a:bodyPr rot="0" vert="horz"/>
              <a:lstStyle/>
              <a:p>
                <a:pPr>
                  <a:defRPr/>
                </a:pPr>
                <a:r>
                  <a:rPr lang="en-US"/>
                  <a:t>%</a:t>
                </a:r>
              </a:p>
            </c:rich>
          </c:tx>
          <c:layout/>
        </c:title>
        <c:numFmt formatCode="General" sourceLinked="1"/>
        <c:tickLblPos val="nextTo"/>
        <c:crossAx val="17497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Warwickshire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0.8</c:v>
                </c:pt>
                <c:pt idx="1">
                  <c:v>0.7</c:v>
                </c:pt>
                <c:pt idx="2">
                  <c:v>0.6</c:v>
                </c:pt>
              </c:numCache>
            </c:numRef>
          </c:val>
        </c:ser>
        <c:axId val="175042944"/>
        <c:axId val="17504448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042944"/>
        <c:axId val="175044480"/>
      </c:lineChart>
      <c:catAx>
        <c:axId val="175042944"/>
        <c:scaling>
          <c:orientation val="minMax"/>
        </c:scaling>
        <c:axPos val="b"/>
        <c:numFmt formatCode="General" sourceLinked="1"/>
        <c:tickLblPos val="nextTo"/>
        <c:txPr>
          <a:bodyPr/>
          <a:lstStyle/>
          <a:p>
            <a:pPr>
              <a:defRPr sz="800"/>
            </a:pPr>
            <a:endParaRPr lang="en-US"/>
          </a:p>
        </c:txPr>
        <c:crossAx val="175044480"/>
        <c:crosses val="autoZero"/>
        <c:auto val="1"/>
        <c:lblAlgn val="ctr"/>
        <c:lblOffset val="100"/>
      </c:catAx>
      <c:valAx>
        <c:axId val="175044480"/>
        <c:scaling>
          <c:orientation val="minMax"/>
        </c:scaling>
        <c:axPos val="l"/>
        <c:majorGridlines/>
        <c:title>
          <c:tx>
            <c:rich>
              <a:bodyPr rot="0" vert="horz"/>
              <a:lstStyle/>
              <a:p>
                <a:pPr>
                  <a:defRPr/>
                </a:pPr>
                <a:r>
                  <a:rPr lang="en-US"/>
                  <a:t>%</a:t>
                </a:r>
              </a:p>
            </c:rich>
          </c:tx>
          <c:layout/>
        </c:title>
        <c:numFmt formatCode="General" sourceLinked="1"/>
        <c:tickLblPos val="nextTo"/>
        <c:crossAx val="175042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Warwickshire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6.8136272545090177</c:v>
                </c:pt>
                <c:pt idx="2">
                  <c:v>7.0140280561122248</c:v>
                </c:pt>
                <c:pt idx="3">
                  <c:v>7.0866141732283463</c:v>
                </c:pt>
                <c:pt idx="4">
                  <c:v>7.4</c:v>
                </c:pt>
                <c:pt idx="5">
                  <c:v>7.4950690335305721</c:v>
                </c:pt>
                <c:pt idx="6">
                  <c:v>7.08955223880597</c:v>
                </c:pt>
                <c:pt idx="7">
                  <c:v>6.7978533094812166</c:v>
                </c:pt>
                <c:pt idx="8">
                  <c:v>6.6433566433566433</c:v>
                </c:pt>
                <c:pt idx="9">
                  <c:v>6.74955595026643</c:v>
                </c:pt>
              </c:numCache>
            </c:numRef>
          </c:val>
        </c:ser>
        <c:axId val="175088384"/>
        <c:axId val="1750899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088384"/>
        <c:axId val="175089920"/>
      </c:lineChart>
      <c:catAx>
        <c:axId val="175088384"/>
        <c:scaling>
          <c:orientation val="minMax"/>
        </c:scaling>
        <c:axPos val="b"/>
        <c:numFmt formatCode="General" sourceLinked="1"/>
        <c:tickLblPos val="nextTo"/>
        <c:txPr>
          <a:bodyPr/>
          <a:lstStyle/>
          <a:p>
            <a:pPr>
              <a:defRPr sz="800"/>
            </a:pPr>
            <a:endParaRPr lang="en-US"/>
          </a:p>
        </c:txPr>
        <c:crossAx val="175089920"/>
        <c:crosses val="autoZero"/>
        <c:auto val="1"/>
        <c:lblAlgn val="ctr"/>
        <c:lblOffset val="100"/>
      </c:catAx>
      <c:valAx>
        <c:axId val="175089920"/>
        <c:scaling>
          <c:orientation val="minMax"/>
        </c:scaling>
        <c:axPos val="l"/>
        <c:majorGridlines/>
        <c:title>
          <c:tx>
            <c:rich>
              <a:bodyPr rot="0" vert="horz"/>
              <a:lstStyle/>
              <a:p>
                <a:pPr>
                  <a:defRPr/>
                </a:pPr>
                <a:r>
                  <a:rPr lang="en-US"/>
                  <a:t>%</a:t>
                </a:r>
              </a:p>
            </c:rich>
          </c:tx>
          <c:layout/>
        </c:title>
        <c:numFmt formatCode="General" sourceLinked="1"/>
        <c:tickLblPos val="nextTo"/>
        <c:crossAx val="175088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18</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2018-11-14T15:46:00Z</dcterms:created>
  <dcterms:modified xsi:type="dcterms:W3CDTF">2018-11-14T16:08:00Z</dcterms:modified>
</cp:coreProperties>
</file>