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432551">
      <w:r w:rsidRPr="00432551">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2pt;margin-top:0;width:299.8pt;height:117pt;z-index:251660288;mso-position-horizontal:right;mso-position-horizontal-relative:margin;mso-position-vertical:top;mso-position-vertical-relative:margin;mso-width-relative:margin;mso-height-relative:margin" stroked="f">
            <v:textbox>
              <w:txbxContent>
                <w:p w:rsidR="002517CD" w:rsidRPr="00C55EE4" w:rsidRDefault="002517CD" w:rsidP="004D3814">
                  <w:pPr>
                    <w:jc w:val="right"/>
                    <w:rPr>
                      <w:rFonts w:ascii="Segoe UI" w:hAnsi="Segoe UI" w:cs="Segoe UI"/>
                      <w:b/>
                      <w:sz w:val="72"/>
                      <w:szCs w:val="72"/>
                      <w:u w:val="single"/>
                    </w:rPr>
                  </w:pPr>
                  <w:r>
                    <w:rPr>
                      <w:rFonts w:ascii="Segoe UI" w:hAnsi="Segoe UI" w:cs="Segoe UI"/>
                      <w:b/>
                      <w:sz w:val="72"/>
                      <w:szCs w:val="72"/>
                      <w:u w:val="single"/>
                    </w:rPr>
                    <w:t>T</w:t>
                  </w:r>
                  <w:r w:rsidR="003D0756">
                    <w:rPr>
                      <w:rFonts w:ascii="Segoe UI" w:hAnsi="Segoe UI" w:cs="Segoe UI"/>
                      <w:b/>
                      <w:sz w:val="72"/>
                      <w:szCs w:val="72"/>
                      <w:u w:val="single"/>
                    </w:rPr>
                    <w:t>e</w:t>
                  </w:r>
                  <w:r w:rsidR="00527718">
                    <w:rPr>
                      <w:rFonts w:ascii="Segoe UI" w:hAnsi="Segoe UI" w:cs="Segoe UI"/>
                      <w:b/>
                      <w:sz w:val="72"/>
                      <w:szCs w:val="72"/>
                      <w:u w:val="single"/>
                    </w:rPr>
                    <w:t>wkesbury</w:t>
                  </w:r>
                  <w:r w:rsidRPr="00C55EE4">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432551"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432551"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432551"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432551"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432551"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432551"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432551"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FE7F21">
        <w:rPr>
          <w:rFonts w:ascii="Segoe UI" w:hAnsi="Segoe UI" w:cs="Segoe UI"/>
          <w:u w:val="single"/>
        </w:rPr>
        <w:t>T</w:t>
      </w:r>
      <w:r w:rsidR="003D0756">
        <w:rPr>
          <w:rFonts w:ascii="Segoe UI" w:hAnsi="Segoe UI" w:cs="Segoe UI"/>
          <w:u w:val="single"/>
        </w:rPr>
        <w:t>e</w:t>
      </w:r>
      <w:r w:rsidR="00527718">
        <w:rPr>
          <w:rFonts w:ascii="Segoe UI" w:hAnsi="Segoe UI" w:cs="Segoe UI"/>
          <w:u w:val="single"/>
        </w:rPr>
        <w:t>wkesbury</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1B2B48">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FE7F21">
        <w:rPr>
          <w:rFonts w:ascii="Segoe UI" w:hAnsi="Segoe UI" w:cs="Segoe UI"/>
        </w:rPr>
        <w:t>T</w:t>
      </w:r>
      <w:r w:rsidR="003D0756">
        <w:rPr>
          <w:rFonts w:ascii="Segoe UI" w:hAnsi="Segoe UI" w:cs="Segoe UI"/>
        </w:rPr>
        <w:t>e</w:t>
      </w:r>
      <w:r w:rsidR="00527718">
        <w:rPr>
          <w:rFonts w:ascii="Segoe UI" w:hAnsi="Segoe UI" w:cs="Segoe UI"/>
        </w:rPr>
        <w:t>wkesbury</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1B2B48">
        <w:rPr>
          <w:rFonts w:ascii="Segoe UI" w:hAnsi="Segoe UI" w:cs="Segoe UI"/>
        </w:rPr>
        <w:t>ere</w:t>
      </w:r>
      <w:r w:rsidR="00A91613">
        <w:rPr>
          <w:rFonts w:ascii="Segoe UI" w:hAnsi="Segoe UI" w:cs="Segoe UI"/>
        </w:rPr>
        <w:t xml:space="preserve"> </w:t>
      </w:r>
      <w:r w:rsidR="003D0756">
        <w:rPr>
          <w:rFonts w:ascii="Segoe UI" w:hAnsi="Segoe UI" w:cs="Segoe UI"/>
        </w:rPr>
        <w:t xml:space="preserve">Manufacturing, </w:t>
      </w:r>
      <w:r w:rsidR="00527718">
        <w:rPr>
          <w:rFonts w:ascii="Segoe UI" w:hAnsi="Segoe UI" w:cs="Segoe UI"/>
        </w:rPr>
        <w:t xml:space="preserve">Professional, Scientific &amp; Technical and </w:t>
      </w:r>
      <w:r w:rsidR="003D0756">
        <w:rPr>
          <w:rFonts w:ascii="Segoe UI" w:hAnsi="Segoe UI" w:cs="Segoe UI"/>
        </w:rPr>
        <w:t>Construction</w:t>
      </w:r>
      <w:r w:rsidR="00ED6BDC">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527718">
        <w:rPr>
          <w:rFonts w:ascii="Segoe UI" w:hAnsi="Segoe UI" w:cs="Segoe UI"/>
        </w:rPr>
        <w:t>26.5</w:t>
      </w:r>
      <w:r w:rsidR="00A91613">
        <w:rPr>
          <w:rFonts w:ascii="Segoe UI" w:hAnsi="Segoe UI" w:cs="Segoe UI"/>
        </w:rPr>
        <w:t>%</w:t>
      </w:r>
      <w:r w:rsidR="00FE7F21">
        <w:rPr>
          <w:rFonts w:ascii="Segoe UI" w:hAnsi="Segoe UI" w:cs="Segoe UI"/>
        </w:rPr>
        <w:t xml:space="preserve">, </w:t>
      </w:r>
      <w:r w:rsidR="003D0756">
        <w:rPr>
          <w:rFonts w:ascii="Segoe UI" w:hAnsi="Segoe UI" w:cs="Segoe UI"/>
        </w:rPr>
        <w:t>10.3</w:t>
      </w:r>
      <w:r w:rsidR="00FE7F21">
        <w:rPr>
          <w:rFonts w:ascii="Segoe UI" w:hAnsi="Segoe UI" w:cs="Segoe UI"/>
        </w:rPr>
        <w:t>%</w:t>
      </w:r>
      <w:r w:rsidR="00DD38E2">
        <w:rPr>
          <w:rFonts w:ascii="Segoe UI" w:hAnsi="Segoe UI" w:cs="Segoe UI"/>
        </w:rPr>
        <w:t xml:space="preserve"> </w:t>
      </w:r>
      <w:r w:rsidR="00B70377">
        <w:rPr>
          <w:rFonts w:ascii="Segoe UI" w:hAnsi="Segoe UI" w:cs="Segoe UI"/>
        </w:rPr>
        <w:t xml:space="preserve">and </w:t>
      </w:r>
      <w:r w:rsidR="00527718">
        <w:rPr>
          <w:rFonts w:ascii="Segoe UI" w:hAnsi="Segoe UI" w:cs="Segoe UI"/>
        </w:rPr>
        <w:t>8.8</w:t>
      </w:r>
      <w:r w:rsidR="00C55EE4">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1B2B48">
        <w:rPr>
          <w:rFonts w:ascii="Segoe UI" w:hAnsi="Segoe UI" w:cs="Segoe UI"/>
        </w:rPr>
        <w:t>e</w:t>
      </w:r>
      <w:r w:rsidR="00AC66D8">
        <w:rPr>
          <w:rFonts w:ascii="Segoe UI" w:hAnsi="Segoe UI" w:cs="Segoe UI"/>
        </w:rPr>
        <w:t>s</w:t>
      </w:r>
      <w:r w:rsidR="001B2B48">
        <w:rPr>
          <w:rFonts w:ascii="Segoe UI" w:hAnsi="Segoe UI" w:cs="Segoe UI"/>
        </w:rPr>
        <w:t>e</w:t>
      </w:r>
      <w:r w:rsidR="00AC66D8">
        <w:rPr>
          <w:rFonts w:ascii="Segoe UI" w:hAnsi="Segoe UI" w:cs="Segoe UI"/>
        </w:rPr>
        <w:t xml:space="preserve"> sector</w:t>
      </w:r>
      <w:r w:rsidR="001B2B48">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FE7F21">
        <w:rPr>
          <w:rFonts w:ascii="Segoe UI" w:hAnsi="Segoe UI" w:cs="Segoe UI"/>
        </w:rPr>
        <w:t>T</w:t>
      </w:r>
      <w:r w:rsidR="003D0756">
        <w:rPr>
          <w:rFonts w:ascii="Segoe UI" w:hAnsi="Segoe UI" w:cs="Segoe UI"/>
        </w:rPr>
        <w:t>e</w:t>
      </w:r>
      <w:r w:rsidR="00527718">
        <w:rPr>
          <w:rFonts w:ascii="Segoe UI" w:hAnsi="Segoe UI" w:cs="Segoe UI"/>
        </w:rPr>
        <w:t>wkesbury</w:t>
      </w:r>
      <w:r w:rsidR="00FE7F21">
        <w:rPr>
          <w:rFonts w:ascii="Segoe UI" w:hAnsi="Segoe UI" w:cs="Segoe UI"/>
        </w:rPr>
        <w:t xml:space="preserve"> </w:t>
      </w:r>
      <w:r w:rsidR="00FF041A">
        <w:rPr>
          <w:rFonts w:ascii="Segoe UI" w:hAnsi="Segoe UI" w:cs="Segoe UI"/>
        </w:rPr>
        <w:t>were</w:t>
      </w:r>
      <w:r w:rsidR="00DB1D4E">
        <w:rPr>
          <w:rFonts w:ascii="Segoe UI" w:hAnsi="Segoe UI" w:cs="Segoe UI"/>
        </w:rPr>
        <w:t xml:space="preserve"> </w:t>
      </w:r>
      <w:r w:rsidR="00527718">
        <w:rPr>
          <w:rFonts w:ascii="Segoe UI" w:hAnsi="Segoe UI" w:cs="Segoe UI"/>
        </w:rPr>
        <w:t>Health</w:t>
      </w:r>
      <w:r w:rsidR="003D0756">
        <w:rPr>
          <w:rFonts w:ascii="Segoe UI" w:hAnsi="Segoe UI" w:cs="Segoe UI"/>
        </w:rPr>
        <w:t xml:space="preserve">, Accommodation &amp; Food Services and </w:t>
      </w:r>
      <w:r w:rsidR="00527718">
        <w:rPr>
          <w:rFonts w:ascii="Segoe UI" w:hAnsi="Segoe UI" w:cs="Segoe UI"/>
        </w:rPr>
        <w:t>Retail</w:t>
      </w:r>
      <w:r w:rsidR="002517CD">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527718">
        <w:rPr>
          <w:rFonts w:ascii="Segoe UI" w:hAnsi="Segoe UI" w:cs="Segoe UI"/>
        </w:rPr>
        <w:t>18.8</w:t>
      </w:r>
      <w:r w:rsidR="00831B04">
        <w:rPr>
          <w:rFonts w:ascii="Segoe UI" w:hAnsi="Segoe UI" w:cs="Segoe UI"/>
        </w:rPr>
        <w:t>%</w:t>
      </w:r>
      <w:r w:rsidR="002517CD">
        <w:rPr>
          <w:rFonts w:ascii="Segoe UI" w:hAnsi="Segoe UI" w:cs="Segoe UI"/>
        </w:rPr>
        <w:t>,</w:t>
      </w:r>
      <w:r w:rsidR="00FE7F21">
        <w:rPr>
          <w:rFonts w:ascii="Segoe UI" w:hAnsi="Segoe UI" w:cs="Segoe UI"/>
        </w:rPr>
        <w:t xml:space="preserve"> </w:t>
      </w:r>
      <w:r w:rsidR="003D0756">
        <w:rPr>
          <w:rFonts w:ascii="Segoe UI" w:hAnsi="Segoe UI" w:cs="Segoe UI"/>
        </w:rPr>
        <w:t>1</w:t>
      </w:r>
      <w:r w:rsidR="00527718">
        <w:rPr>
          <w:rFonts w:ascii="Segoe UI" w:hAnsi="Segoe UI" w:cs="Segoe UI"/>
        </w:rPr>
        <w:t>4</w:t>
      </w:r>
      <w:r w:rsidR="003D0756">
        <w:rPr>
          <w:rFonts w:ascii="Segoe UI" w:hAnsi="Segoe UI" w:cs="Segoe UI"/>
        </w:rPr>
        <w:t>.6</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B70377">
        <w:rPr>
          <w:rFonts w:ascii="Segoe UI" w:hAnsi="Segoe UI" w:cs="Segoe UI"/>
        </w:rPr>
        <w:t>1</w:t>
      </w:r>
      <w:r w:rsidR="00527718">
        <w:rPr>
          <w:rFonts w:ascii="Segoe UI" w:hAnsi="Segoe UI" w:cs="Segoe UI"/>
        </w:rPr>
        <w:t>2.5</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FE7F21">
        <w:rPr>
          <w:rFonts w:ascii="Segoe UI" w:hAnsi="Segoe UI" w:cs="Segoe UI"/>
          <w:u w:val="single"/>
        </w:rPr>
        <w:t>T</w:t>
      </w:r>
      <w:r w:rsidR="003D0756">
        <w:rPr>
          <w:rFonts w:ascii="Segoe UI" w:hAnsi="Segoe UI" w:cs="Segoe UI"/>
          <w:u w:val="single"/>
        </w:rPr>
        <w:t>e</w:t>
      </w:r>
      <w:r w:rsidR="00527718">
        <w:rPr>
          <w:rFonts w:ascii="Segoe UI" w:hAnsi="Segoe UI" w:cs="Segoe UI"/>
          <w:u w:val="single"/>
        </w:rPr>
        <w:t>wkesbury</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FE7F21">
        <w:rPr>
          <w:rFonts w:ascii="Segoe UI" w:hAnsi="Segoe UI" w:cs="Segoe UI"/>
        </w:rPr>
        <w:t>T</w:t>
      </w:r>
      <w:r w:rsidR="003D0756">
        <w:rPr>
          <w:rFonts w:ascii="Segoe UI" w:hAnsi="Segoe UI" w:cs="Segoe UI"/>
        </w:rPr>
        <w:t>e</w:t>
      </w:r>
      <w:r w:rsidR="00527718">
        <w:rPr>
          <w:rFonts w:ascii="Segoe UI" w:hAnsi="Segoe UI" w:cs="Segoe UI"/>
        </w:rPr>
        <w:t>wkesbury</w:t>
      </w:r>
      <w:r w:rsidR="007301BD">
        <w:rPr>
          <w:rFonts w:ascii="Segoe UI" w:hAnsi="Segoe UI" w:cs="Segoe UI"/>
        </w:rPr>
        <w:t xml:space="preserve"> are</w:t>
      </w:r>
      <w:r w:rsidR="00387361">
        <w:rPr>
          <w:rFonts w:ascii="Segoe UI" w:hAnsi="Segoe UI" w:cs="Segoe UI"/>
        </w:rPr>
        <w:t xml:space="preserve"> </w:t>
      </w:r>
      <w:r w:rsidR="00527718">
        <w:rPr>
          <w:rFonts w:ascii="Segoe UI" w:hAnsi="Segoe UI" w:cs="Segoe UI"/>
        </w:rPr>
        <w:t xml:space="preserve">Professional, Scientific &amp; Technical, </w:t>
      </w:r>
      <w:r w:rsidR="003D0756">
        <w:rPr>
          <w:rFonts w:ascii="Segoe UI" w:hAnsi="Segoe UI" w:cs="Segoe UI"/>
        </w:rPr>
        <w:t xml:space="preserve">Construction and </w:t>
      </w:r>
      <w:r w:rsidR="002517CD">
        <w:rPr>
          <w:rFonts w:ascii="Segoe UI" w:hAnsi="Segoe UI" w:cs="Segoe UI"/>
        </w:rPr>
        <w:t xml:space="preserve">Agriculture, Forestry &amp; Fishing </w:t>
      </w:r>
      <w:r w:rsidR="009264D1">
        <w:rPr>
          <w:rFonts w:ascii="Segoe UI" w:hAnsi="Segoe UI" w:cs="Segoe UI"/>
        </w:rPr>
        <w:t xml:space="preserve">with </w:t>
      </w:r>
      <w:r w:rsidR="003D0756">
        <w:rPr>
          <w:rFonts w:ascii="Segoe UI" w:hAnsi="Segoe UI" w:cs="Segoe UI"/>
        </w:rPr>
        <w:t>1</w:t>
      </w:r>
      <w:r w:rsidR="00527718">
        <w:rPr>
          <w:rFonts w:ascii="Segoe UI" w:hAnsi="Segoe UI" w:cs="Segoe UI"/>
        </w:rPr>
        <w:t>8</w:t>
      </w:r>
      <w:r w:rsidR="003D0756">
        <w:rPr>
          <w:rFonts w:ascii="Segoe UI" w:hAnsi="Segoe UI" w:cs="Segoe UI"/>
        </w:rPr>
        <w:t>.7</w:t>
      </w:r>
      <w:r w:rsidR="00ED6BDC">
        <w:rPr>
          <w:rFonts w:ascii="Segoe UI" w:hAnsi="Segoe UI" w:cs="Segoe UI"/>
        </w:rPr>
        <w:t xml:space="preserve">%, </w:t>
      </w:r>
      <w:r w:rsidR="002517CD">
        <w:rPr>
          <w:rFonts w:ascii="Segoe UI" w:hAnsi="Segoe UI" w:cs="Segoe UI"/>
        </w:rPr>
        <w:t>1</w:t>
      </w:r>
      <w:r w:rsidR="003D0756">
        <w:rPr>
          <w:rFonts w:ascii="Segoe UI" w:hAnsi="Segoe UI" w:cs="Segoe UI"/>
        </w:rPr>
        <w:t>2</w:t>
      </w:r>
      <w:r w:rsidR="00527718">
        <w:rPr>
          <w:rFonts w:ascii="Segoe UI" w:hAnsi="Segoe UI" w:cs="Segoe UI"/>
        </w:rPr>
        <w:t>.8</w:t>
      </w:r>
      <w:r>
        <w:rPr>
          <w:rFonts w:ascii="Segoe UI" w:hAnsi="Segoe UI" w:cs="Segoe UI"/>
        </w:rPr>
        <w:t>%</w:t>
      </w:r>
      <w:r w:rsidR="00ED6BDC">
        <w:rPr>
          <w:rFonts w:ascii="Segoe UI" w:hAnsi="Segoe UI" w:cs="Segoe UI"/>
        </w:rPr>
        <w:t xml:space="preserve"> and </w:t>
      </w:r>
      <w:r w:rsidR="00527718">
        <w:rPr>
          <w:rFonts w:ascii="Segoe UI" w:hAnsi="Segoe UI" w:cs="Segoe UI"/>
        </w:rPr>
        <w:t>9.0</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13332"/>
    <w:rsid w:val="00026BD9"/>
    <w:rsid w:val="00031717"/>
    <w:rsid w:val="00034AE0"/>
    <w:rsid w:val="00037AAA"/>
    <w:rsid w:val="0004798C"/>
    <w:rsid w:val="000537CC"/>
    <w:rsid w:val="00075447"/>
    <w:rsid w:val="000860DD"/>
    <w:rsid w:val="000B1A56"/>
    <w:rsid w:val="000B31DD"/>
    <w:rsid w:val="000B42C9"/>
    <w:rsid w:val="000B5BC6"/>
    <w:rsid w:val="000C33D3"/>
    <w:rsid w:val="000C57E2"/>
    <w:rsid w:val="000C6C9A"/>
    <w:rsid w:val="000D12BF"/>
    <w:rsid w:val="000D31D9"/>
    <w:rsid w:val="000D37D1"/>
    <w:rsid w:val="000D4A2C"/>
    <w:rsid w:val="000E66B9"/>
    <w:rsid w:val="000E6766"/>
    <w:rsid w:val="000E6C55"/>
    <w:rsid w:val="000F289B"/>
    <w:rsid w:val="000F3D38"/>
    <w:rsid w:val="000F5335"/>
    <w:rsid w:val="000F5F2A"/>
    <w:rsid w:val="00101897"/>
    <w:rsid w:val="0010298E"/>
    <w:rsid w:val="001052A5"/>
    <w:rsid w:val="001134A4"/>
    <w:rsid w:val="001253AA"/>
    <w:rsid w:val="00127CE7"/>
    <w:rsid w:val="00134B0A"/>
    <w:rsid w:val="00137983"/>
    <w:rsid w:val="001416F4"/>
    <w:rsid w:val="001439D5"/>
    <w:rsid w:val="00145E03"/>
    <w:rsid w:val="00153631"/>
    <w:rsid w:val="001575E3"/>
    <w:rsid w:val="00162828"/>
    <w:rsid w:val="00163203"/>
    <w:rsid w:val="00164E34"/>
    <w:rsid w:val="00172B21"/>
    <w:rsid w:val="00173523"/>
    <w:rsid w:val="00174D49"/>
    <w:rsid w:val="00187541"/>
    <w:rsid w:val="0019092A"/>
    <w:rsid w:val="00195B84"/>
    <w:rsid w:val="001971A6"/>
    <w:rsid w:val="001A15A5"/>
    <w:rsid w:val="001A5750"/>
    <w:rsid w:val="001B003E"/>
    <w:rsid w:val="001B2B48"/>
    <w:rsid w:val="001C4E49"/>
    <w:rsid w:val="001D2D23"/>
    <w:rsid w:val="001D73E4"/>
    <w:rsid w:val="001E5A94"/>
    <w:rsid w:val="001E71D8"/>
    <w:rsid w:val="0020411F"/>
    <w:rsid w:val="0020423D"/>
    <w:rsid w:val="00205E22"/>
    <w:rsid w:val="002159C4"/>
    <w:rsid w:val="00225A81"/>
    <w:rsid w:val="00225CBC"/>
    <w:rsid w:val="00230CF6"/>
    <w:rsid w:val="002408BD"/>
    <w:rsid w:val="00240DBA"/>
    <w:rsid w:val="002455E2"/>
    <w:rsid w:val="00250EDD"/>
    <w:rsid w:val="00251623"/>
    <w:rsid w:val="002517CD"/>
    <w:rsid w:val="00254884"/>
    <w:rsid w:val="002555C8"/>
    <w:rsid w:val="00256D31"/>
    <w:rsid w:val="00257FBA"/>
    <w:rsid w:val="00266A34"/>
    <w:rsid w:val="00273B7A"/>
    <w:rsid w:val="00274ED9"/>
    <w:rsid w:val="002762DA"/>
    <w:rsid w:val="00280927"/>
    <w:rsid w:val="00281F54"/>
    <w:rsid w:val="00295AEC"/>
    <w:rsid w:val="002A3140"/>
    <w:rsid w:val="002A4CE5"/>
    <w:rsid w:val="002A7E2C"/>
    <w:rsid w:val="002A7F64"/>
    <w:rsid w:val="002B2FB9"/>
    <w:rsid w:val="002C6B54"/>
    <w:rsid w:val="002D2D93"/>
    <w:rsid w:val="002D30E8"/>
    <w:rsid w:val="002D3175"/>
    <w:rsid w:val="002D62CB"/>
    <w:rsid w:val="002E44F5"/>
    <w:rsid w:val="002F0A40"/>
    <w:rsid w:val="002F3154"/>
    <w:rsid w:val="00304514"/>
    <w:rsid w:val="003060AA"/>
    <w:rsid w:val="00311195"/>
    <w:rsid w:val="00314FF2"/>
    <w:rsid w:val="00330416"/>
    <w:rsid w:val="00343B13"/>
    <w:rsid w:val="003507A7"/>
    <w:rsid w:val="00351C53"/>
    <w:rsid w:val="00353942"/>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756"/>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72"/>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616D"/>
    <w:rsid w:val="004C65B3"/>
    <w:rsid w:val="004D1A19"/>
    <w:rsid w:val="004D3814"/>
    <w:rsid w:val="004D5C86"/>
    <w:rsid w:val="004E6628"/>
    <w:rsid w:val="004F47CB"/>
    <w:rsid w:val="00500FD5"/>
    <w:rsid w:val="0050262C"/>
    <w:rsid w:val="005045E5"/>
    <w:rsid w:val="00510BE4"/>
    <w:rsid w:val="00512126"/>
    <w:rsid w:val="005211AC"/>
    <w:rsid w:val="00524321"/>
    <w:rsid w:val="0052687F"/>
    <w:rsid w:val="00527718"/>
    <w:rsid w:val="005308FB"/>
    <w:rsid w:val="00530FFF"/>
    <w:rsid w:val="0053193A"/>
    <w:rsid w:val="00533FF5"/>
    <w:rsid w:val="00541BA8"/>
    <w:rsid w:val="005445B5"/>
    <w:rsid w:val="00545A25"/>
    <w:rsid w:val="0054613A"/>
    <w:rsid w:val="00555F9F"/>
    <w:rsid w:val="00557B7F"/>
    <w:rsid w:val="00563BBD"/>
    <w:rsid w:val="00566824"/>
    <w:rsid w:val="00567BD5"/>
    <w:rsid w:val="0057291F"/>
    <w:rsid w:val="00575E1E"/>
    <w:rsid w:val="00582D6A"/>
    <w:rsid w:val="00583594"/>
    <w:rsid w:val="00585222"/>
    <w:rsid w:val="005866DD"/>
    <w:rsid w:val="00587D4E"/>
    <w:rsid w:val="00597A8A"/>
    <w:rsid w:val="005B6BE1"/>
    <w:rsid w:val="005C460C"/>
    <w:rsid w:val="005E1142"/>
    <w:rsid w:val="005E7B83"/>
    <w:rsid w:val="005F2282"/>
    <w:rsid w:val="00600EBE"/>
    <w:rsid w:val="00604F05"/>
    <w:rsid w:val="0061439A"/>
    <w:rsid w:val="0062157B"/>
    <w:rsid w:val="00621EF4"/>
    <w:rsid w:val="00624952"/>
    <w:rsid w:val="006379F8"/>
    <w:rsid w:val="0064321A"/>
    <w:rsid w:val="0065034B"/>
    <w:rsid w:val="00653949"/>
    <w:rsid w:val="00655D3B"/>
    <w:rsid w:val="006646D6"/>
    <w:rsid w:val="00673908"/>
    <w:rsid w:val="00675025"/>
    <w:rsid w:val="00677819"/>
    <w:rsid w:val="00692E85"/>
    <w:rsid w:val="006931D7"/>
    <w:rsid w:val="00693BC7"/>
    <w:rsid w:val="006A3967"/>
    <w:rsid w:val="006A58A6"/>
    <w:rsid w:val="006B2B3D"/>
    <w:rsid w:val="006D2B07"/>
    <w:rsid w:val="006D33F0"/>
    <w:rsid w:val="006D42F1"/>
    <w:rsid w:val="006E1118"/>
    <w:rsid w:val="006E41CF"/>
    <w:rsid w:val="006E44F5"/>
    <w:rsid w:val="006E6F7B"/>
    <w:rsid w:val="006F4FD3"/>
    <w:rsid w:val="006F58D0"/>
    <w:rsid w:val="006F6850"/>
    <w:rsid w:val="00701EDA"/>
    <w:rsid w:val="0070268E"/>
    <w:rsid w:val="0070541D"/>
    <w:rsid w:val="0071096F"/>
    <w:rsid w:val="00722183"/>
    <w:rsid w:val="00723BD3"/>
    <w:rsid w:val="007275C8"/>
    <w:rsid w:val="007301BD"/>
    <w:rsid w:val="0074160A"/>
    <w:rsid w:val="0074348D"/>
    <w:rsid w:val="00754898"/>
    <w:rsid w:val="007726D8"/>
    <w:rsid w:val="007748A6"/>
    <w:rsid w:val="00777584"/>
    <w:rsid w:val="00784B29"/>
    <w:rsid w:val="00785C66"/>
    <w:rsid w:val="00786635"/>
    <w:rsid w:val="007870E0"/>
    <w:rsid w:val="0078783F"/>
    <w:rsid w:val="00787CA1"/>
    <w:rsid w:val="007A0435"/>
    <w:rsid w:val="007A5096"/>
    <w:rsid w:val="007A509C"/>
    <w:rsid w:val="007A73F0"/>
    <w:rsid w:val="007B136D"/>
    <w:rsid w:val="007B2EF3"/>
    <w:rsid w:val="007B360E"/>
    <w:rsid w:val="007B5E2C"/>
    <w:rsid w:val="007C55DC"/>
    <w:rsid w:val="007C5899"/>
    <w:rsid w:val="007D5AF2"/>
    <w:rsid w:val="007E279D"/>
    <w:rsid w:val="007E5F34"/>
    <w:rsid w:val="007E65D3"/>
    <w:rsid w:val="007F0200"/>
    <w:rsid w:val="007F1832"/>
    <w:rsid w:val="007F7765"/>
    <w:rsid w:val="00801003"/>
    <w:rsid w:val="0080737E"/>
    <w:rsid w:val="00810505"/>
    <w:rsid w:val="0081487D"/>
    <w:rsid w:val="00815D2B"/>
    <w:rsid w:val="0081762F"/>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A05C4"/>
    <w:rsid w:val="008B2CE8"/>
    <w:rsid w:val="008B2D2D"/>
    <w:rsid w:val="008B57A6"/>
    <w:rsid w:val="008B61D0"/>
    <w:rsid w:val="008C2804"/>
    <w:rsid w:val="008C2AD5"/>
    <w:rsid w:val="008C37E5"/>
    <w:rsid w:val="008C392C"/>
    <w:rsid w:val="008D337A"/>
    <w:rsid w:val="008D39B8"/>
    <w:rsid w:val="008D66C0"/>
    <w:rsid w:val="008E16AB"/>
    <w:rsid w:val="008E54A6"/>
    <w:rsid w:val="008E592D"/>
    <w:rsid w:val="008E7679"/>
    <w:rsid w:val="008F3CBB"/>
    <w:rsid w:val="00910F6E"/>
    <w:rsid w:val="009121EB"/>
    <w:rsid w:val="00912355"/>
    <w:rsid w:val="00920E1B"/>
    <w:rsid w:val="00921EFB"/>
    <w:rsid w:val="009264D1"/>
    <w:rsid w:val="00934C93"/>
    <w:rsid w:val="0094742C"/>
    <w:rsid w:val="009528EC"/>
    <w:rsid w:val="009543EE"/>
    <w:rsid w:val="00963D1C"/>
    <w:rsid w:val="00966258"/>
    <w:rsid w:val="00974D4B"/>
    <w:rsid w:val="0098799B"/>
    <w:rsid w:val="009902B8"/>
    <w:rsid w:val="00990CEF"/>
    <w:rsid w:val="00991FC6"/>
    <w:rsid w:val="0099362A"/>
    <w:rsid w:val="0099773F"/>
    <w:rsid w:val="009A2CF2"/>
    <w:rsid w:val="009A7D5A"/>
    <w:rsid w:val="009B5673"/>
    <w:rsid w:val="009C02F2"/>
    <w:rsid w:val="009C272C"/>
    <w:rsid w:val="009C3472"/>
    <w:rsid w:val="009C3A39"/>
    <w:rsid w:val="009C5500"/>
    <w:rsid w:val="009E216D"/>
    <w:rsid w:val="009E309F"/>
    <w:rsid w:val="009E63CD"/>
    <w:rsid w:val="009F1207"/>
    <w:rsid w:val="009F788E"/>
    <w:rsid w:val="00A120AC"/>
    <w:rsid w:val="00A122EC"/>
    <w:rsid w:val="00A13944"/>
    <w:rsid w:val="00A20486"/>
    <w:rsid w:val="00A227F5"/>
    <w:rsid w:val="00A22D1B"/>
    <w:rsid w:val="00A37814"/>
    <w:rsid w:val="00A4395C"/>
    <w:rsid w:val="00A46831"/>
    <w:rsid w:val="00A46AAA"/>
    <w:rsid w:val="00A53CA9"/>
    <w:rsid w:val="00A57F92"/>
    <w:rsid w:val="00A61248"/>
    <w:rsid w:val="00A628A4"/>
    <w:rsid w:val="00A6694D"/>
    <w:rsid w:val="00A7203A"/>
    <w:rsid w:val="00A83E4C"/>
    <w:rsid w:val="00A91613"/>
    <w:rsid w:val="00A940B8"/>
    <w:rsid w:val="00AA12D5"/>
    <w:rsid w:val="00AA39BF"/>
    <w:rsid w:val="00AA4EAF"/>
    <w:rsid w:val="00AA597B"/>
    <w:rsid w:val="00AB2A17"/>
    <w:rsid w:val="00AC38CD"/>
    <w:rsid w:val="00AC3D7B"/>
    <w:rsid w:val="00AC40A8"/>
    <w:rsid w:val="00AC66D8"/>
    <w:rsid w:val="00AD27B6"/>
    <w:rsid w:val="00AE00CB"/>
    <w:rsid w:val="00AE3362"/>
    <w:rsid w:val="00AE5DBC"/>
    <w:rsid w:val="00AF63AA"/>
    <w:rsid w:val="00B00814"/>
    <w:rsid w:val="00B04094"/>
    <w:rsid w:val="00B22286"/>
    <w:rsid w:val="00B22D3D"/>
    <w:rsid w:val="00B24449"/>
    <w:rsid w:val="00B25502"/>
    <w:rsid w:val="00B26109"/>
    <w:rsid w:val="00B30792"/>
    <w:rsid w:val="00B30A63"/>
    <w:rsid w:val="00B3304B"/>
    <w:rsid w:val="00B44123"/>
    <w:rsid w:val="00B44C2A"/>
    <w:rsid w:val="00B53700"/>
    <w:rsid w:val="00B64853"/>
    <w:rsid w:val="00B667FA"/>
    <w:rsid w:val="00B66EC4"/>
    <w:rsid w:val="00B6778F"/>
    <w:rsid w:val="00B70377"/>
    <w:rsid w:val="00B809FD"/>
    <w:rsid w:val="00B81EF6"/>
    <w:rsid w:val="00B82315"/>
    <w:rsid w:val="00B839FB"/>
    <w:rsid w:val="00B86569"/>
    <w:rsid w:val="00B87B4C"/>
    <w:rsid w:val="00B902DC"/>
    <w:rsid w:val="00B9254C"/>
    <w:rsid w:val="00B95F4B"/>
    <w:rsid w:val="00BA29A5"/>
    <w:rsid w:val="00BA3E2B"/>
    <w:rsid w:val="00BB5337"/>
    <w:rsid w:val="00BC2E51"/>
    <w:rsid w:val="00BD23C3"/>
    <w:rsid w:val="00BD2541"/>
    <w:rsid w:val="00BE5674"/>
    <w:rsid w:val="00BF0BE9"/>
    <w:rsid w:val="00BF44B3"/>
    <w:rsid w:val="00C00BF6"/>
    <w:rsid w:val="00C067F1"/>
    <w:rsid w:val="00C12824"/>
    <w:rsid w:val="00C2012E"/>
    <w:rsid w:val="00C26302"/>
    <w:rsid w:val="00C27833"/>
    <w:rsid w:val="00C35A9C"/>
    <w:rsid w:val="00C468CE"/>
    <w:rsid w:val="00C55EE4"/>
    <w:rsid w:val="00C60E60"/>
    <w:rsid w:val="00C66719"/>
    <w:rsid w:val="00C91185"/>
    <w:rsid w:val="00CA077C"/>
    <w:rsid w:val="00CA07D6"/>
    <w:rsid w:val="00CA0A4D"/>
    <w:rsid w:val="00CA5D91"/>
    <w:rsid w:val="00CC7140"/>
    <w:rsid w:val="00CD176D"/>
    <w:rsid w:val="00CD2F9D"/>
    <w:rsid w:val="00CD344C"/>
    <w:rsid w:val="00CD3D82"/>
    <w:rsid w:val="00CE1DBF"/>
    <w:rsid w:val="00D04520"/>
    <w:rsid w:val="00D05EE7"/>
    <w:rsid w:val="00D1059A"/>
    <w:rsid w:val="00D13E54"/>
    <w:rsid w:val="00D170C3"/>
    <w:rsid w:val="00D226DF"/>
    <w:rsid w:val="00D307D8"/>
    <w:rsid w:val="00D42D18"/>
    <w:rsid w:val="00D56F1B"/>
    <w:rsid w:val="00D60717"/>
    <w:rsid w:val="00D62716"/>
    <w:rsid w:val="00D71B60"/>
    <w:rsid w:val="00D82AED"/>
    <w:rsid w:val="00D83598"/>
    <w:rsid w:val="00D83F68"/>
    <w:rsid w:val="00D90E52"/>
    <w:rsid w:val="00D97F09"/>
    <w:rsid w:val="00DA198D"/>
    <w:rsid w:val="00DA54B8"/>
    <w:rsid w:val="00DA7024"/>
    <w:rsid w:val="00DB0C84"/>
    <w:rsid w:val="00DB1D4E"/>
    <w:rsid w:val="00DB466D"/>
    <w:rsid w:val="00DB5115"/>
    <w:rsid w:val="00DC0F18"/>
    <w:rsid w:val="00DC15AE"/>
    <w:rsid w:val="00DD01A4"/>
    <w:rsid w:val="00DD2640"/>
    <w:rsid w:val="00DD38E2"/>
    <w:rsid w:val="00DD5B14"/>
    <w:rsid w:val="00DE50DF"/>
    <w:rsid w:val="00DE6755"/>
    <w:rsid w:val="00DF4655"/>
    <w:rsid w:val="00DF6BA9"/>
    <w:rsid w:val="00E109CF"/>
    <w:rsid w:val="00E10C8C"/>
    <w:rsid w:val="00E1100A"/>
    <w:rsid w:val="00E14920"/>
    <w:rsid w:val="00E17957"/>
    <w:rsid w:val="00E17A66"/>
    <w:rsid w:val="00E30854"/>
    <w:rsid w:val="00E33D6C"/>
    <w:rsid w:val="00E44424"/>
    <w:rsid w:val="00E44C9E"/>
    <w:rsid w:val="00E465F3"/>
    <w:rsid w:val="00E46D33"/>
    <w:rsid w:val="00E47998"/>
    <w:rsid w:val="00E515F4"/>
    <w:rsid w:val="00E63805"/>
    <w:rsid w:val="00EA220B"/>
    <w:rsid w:val="00EB0284"/>
    <w:rsid w:val="00EB6085"/>
    <w:rsid w:val="00EC1734"/>
    <w:rsid w:val="00EC7330"/>
    <w:rsid w:val="00ED2B4F"/>
    <w:rsid w:val="00ED51EE"/>
    <w:rsid w:val="00ED59C5"/>
    <w:rsid w:val="00ED6BDC"/>
    <w:rsid w:val="00EE11F9"/>
    <w:rsid w:val="00EE29BA"/>
    <w:rsid w:val="00EE339D"/>
    <w:rsid w:val="00EE360F"/>
    <w:rsid w:val="00EE67FD"/>
    <w:rsid w:val="00EF5AC7"/>
    <w:rsid w:val="00EF5EFE"/>
    <w:rsid w:val="00EF696D"/>
    <w:rsid w:val="00F06BCB"/>
    <w:rsid w:val="00F06E52"/>
    <w:rsid w:val="00F10FCE"/>
    <w:rsid w:val="00F311B7"/>
    <w:rsid w:val="00F37434"/>
    <w:rsid w:val="00F60860"/>
    <w:rsid w:val="00F61482"/>
    <w:rsid w:val="00F624C0"/>
    <w:rsid w:val="00F74949"/>
    <w:rsid w:val="00F82612"/>
    <w:rsid w:val="00F86A47"/>
    <w:rsid w:val="00F87D3A"/>
    <w:rsid w:val="00F90D23"/>
    <w:rsid w:val="00F97CB2"/>
    <w:rsid w:val="00FA06CC"/>
    <w:rsid w:val="00FA0F55"/>
    <w:rsid w:val="00FB03AB"/>
    <w:rsid w:val="00FB0963"/>
    <w:rsid w:val="00FC1AFD"/>
    <w:rsid w:val="00FD1830"/>
    <w:rsid w:val="00FD66BF"/>
    <w:rsid w:val="00FD7832"/>
    <w:rsid w:val="00FE0842"/>
    <w:rsid w:val="00FE39D0"/>
    <w:rsid w:val="00FE5614"/>
    <w:rsid w:val="00FE7F21"/>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Tewkesbury</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62.96911994357967</c:v>
                </c:pt>
                <c:pt idx="2">
                  <c:v>62.710801830606229</c:v>
                </c:pt>
                <c:pt idx="3">
                  <c:v>62.414807642173479</c:v>
                </c:pt>
                <c:pt idx="4">
                  <c:v>62.167167474090881</c:v>
                </c:pt>
                <c:pt idx="5">
                  <c:v>61.956508526905637</c:v>
                </c:pt>
                <c:pt idx="6">
                  <c:v>61.158229525576466</c:v>
                </c:pt>
                <c:pt idx="7">
                  <c:v>60.76040937822421</c:v>
                </c:pt>
                <c:pt idx="8">
                  <c:v>60.384857455884756</c:v>
                </c:pt>
                <c:pt idx="9">
                  <c:v>60.043974766312104</c:v>
                </c:pt>
                <c:pt idx="10">
                  <c:v>59.758467204410401</c:v>
                </c:pt>
                <c:pt idx="11">
                  <c:v>59.558074657928529</c:v>
                </c:pt>
              </c:numCache>
            </c:numRef>
          </c:val>
        </c:ser>
        <c:marker val="1"/>
        <c:axId val="178541696"/>
        <c:axId val="178543232"/>
      </c:lineChart>
      <c:catAx>
        <c:axId val="178541696"/>
        <c:scaling>
          <c:orientation val="minMax"/>
        </c:scaling>
        <c:axPos val="b"/>
        <c:numFmt formatCode="General" sourceLinked="1"/>
        <c:tickLblPos val="nextTo"/>
        <c:txPr>
          <a:bodyPr/>
          <a:lstStyle/>
          <a:p>
            <a:pPr>
              <a:defRPr sz="900"/>
            </a:pPr>
            <a:endParaRPr lang="en-US"/>
          </a:p>
        </c:txPr>
        <c:crossAx val="178543232"/>
        <c:crosses val="autoZero"/>
        <c:auto val="1"/>
        <c:lblAlgn val="ctr"/>
        <c:lblOffset val="100"/>
      </c:catAx>
      <c:valAx>
        <c:axId val="178543232"/>
        <c:scaling>
          <c:orientation val="minMax"/>
        </c:scaling>
        <c:axPos val="l"/>
        <c:majorGridlines/>
        <c:title>
          <c:tx>
            <c:rich>
              <a:bodyPr rot="0" vert="horz"/>
              <a:lstStyle/>
              <a:p>
                <a:pPr>
                  <a:defRPr/>
                </a:pPr>
                <a:r>
                  <a:rPr lang="en-US"/>
                  <a:t>%</a:t>
                </a:r>
              </a:p>
            </c:rich>
          </c:tx>
          <c:layout/>
        </c:title>
        <c:numFmt formatCode="General" sourceLinked="1"/>
        <c:tickLblPos val="nextTo"/>
        <c:crossAx val="178541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Tewkesbury</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0.9</c:v>
                </c:pt>
                <c:pt idx="1">
                  <c:v>1.3</c:v>
                </c:pt>
                <c:pt idx="2">
                  <c:v>1.1000000000000001</c:v>
                </c:pt>
              </c:numCache>
            </c:numRef>
          </c:val>
        </c:ser>
        <c:axId val="179528448"/>
        <c:axId val="1795299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9528448"/>
        <c:axId val="179529984"/>
      </c:lineChart>
      <c:catAx>
        <c:axId val="179528448"/>
        <c:scaling>
          <c:orientation val="minMax"/>
        </c:scaling>
        <c:axPos val="b"/>
        <c:numFmt formatCode="General" sourceLinked="1"/>
        <c:tickLblPos val="nextTo"/>
        <c:txPr>
          <a:bodyPr/>
          <a:lstStyle/>
          <a:p>
            <a:pPr>
              <a:defRPr sz="800"/>
            </a:pPr>
            <a:endParaRPr lang="en-US"/>
          </a:p>
        </c:txPr>
        <c:crossAx val="179529984"/>
        <c:crosses val="autoZero"/>
        <c:auto val="1"/>
        <c:lblAlgn val="ctr"/>
        <c:lblOffset val="100"/>
      </c:catAx>
      <c:valAx>
        <c:axId val="179529984"/>
        <c:scaling>
          <c:orientation val="minMax"/>
        </c:scaling>
        <c:axPos val="l"/>
        <c:majorGridlines/>
        <c:title>
          <c:tx>
            <c:rich>
              <a:bodyPr rot="0" vert="horz"/>
              <a:lstStyle/>
              <a:p>
                <a:pPr>
                  <a:defRPr/>
                </a:pPr>
                <a:r>
                  <a:rPr lang="en-US"/>
                  <a:t>%</a:t>
                </a:r>
              </a:p>
            </c:rich>
          </c:tx>
          <c:layout/>
        </c:title>
        <c:numFmt formatCode="General" sourceLinked="1"/>
        <c:tickLblPos val="nextTo"/>
        <c:crossAx val="179528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Tewkesbury</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0.29629629629629628</c:v>
                </c:pt>
                <c:pt idx="2">
                  <c:v>0.29112081513828236</c:v>
                </c:pt>
                <c:pt idx="3">
                  <c:v>0.28653295128939826</c:v>
                </c:pt>
                <c:pt idx="4">
                  <c:v>0.4267425320056899</c:v>
                </c:pt>
                <c:pt idx="5">
                  <c:v>0.41039671682626538</c:v>
                </c:pt>
                <c:pt idx="6">
                  <c:v>0.38363171355498721</c:v>
                </c:pt>
                <c:pt idx="7">
                  <c:v>0.37313432835820898</c:v>
                </c:pt>
                <c:pt idx="8">
                  <c:v>0.48309178743961351</c:v>
                </c:pt>
                <c:pt idx="9">
                  <c:v>0.48019207683073228</c:v>
                </c:pt>
              </c:numCache>
            </c:numRef>
          </c:val>
        </c:ser>
        <c:axId val="179569792"/>
        <c:axId val="17957132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9569792"/>
        <c:axId val="179571328"/>
      </c:lineChart>
      <c:catAx>
        <c:axId val="179569792"/>
        <c:scaling>
          <c:orientation val="minMax"/>
        </c:scaling>
        <c:axPos val="b"/>
        <c:numFmt formatCode="General" sourceLinked="1"/>
        <c:tickLblPos val="nextTo"/>
        <c:txPr>
          <a:bodyPr/>
          <a:lstStyle/>
          <a:p>
            <a:pPr>
              <a:defRPr sz="800"/>
            </a:pPr>
            <a:endParaRPr lang="en-US"/>
          </a:p>
        </c:txPr>
        <c:crossAx val="179571328"/>
        <c:crosses val="autoZero"/>
        <c:auto val="1"/>
        <c:lblAlgn val="ctr"/>
        <c:lblOffset val="100"/>
      </c:catAx>
      <c:valAx>
        <c:axId val="179571328"/>
        <c:scaling>
          <c:orientation val="minMax"/>
        </c:scaling>
        <c:axPos val="l"/>
        <c:majorGridlines/>
        <c:title>
          <c:tx>
            <c:rich>
              <a:bodyPr rot="0" vert="horz"/>
              <a:lstStyle/>
              <a:p>
                <a:pPr>
                  <a:defRPr/>
                </a:pPr>
                <a:r>
                  <a:rPr lang="en-US"/>
                  <a:t>%</a:t>
                </a:r>
              </a:p>
            </c:rich>
          </c:tx>
          <c:layout/>
        </c:title>
        <c:numFmt formatCode="General" sourceLinked="1"/>
        <c:tickLblPos val="nextTo"/>
        <c:crossAx val="17956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Tewkesbury</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20.5</c:v>
                </c:pt>
                <c:pt idx="1">
                  <c:v>21.7</c:v>
                </c:pt>
                <c:pt idx="2">
                  <c:v>20</c:v>
                </c:pt>
              </c:numCache>
            </c:numRef>
          </c:val>
        </c:ser>
        <c:axId val="179611136"/>
        <c:axId val="179612672"/>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9611136"/>
        <c:axId val="179612672"/>
      </c:lineChart>
      <c:catAx>
        <c:axId val="179611136"/>
        <c:scaling>
          <c:orientation val="minMax"/>
        </c:scaling>
        <c:axPos val="b"/>
        <c:numFmt formatCode="General" sourceLinked="1"/>
        <c:tickLblPos val="nextTo"/>
        <c:txPr>
          <a:bodyPr/>
          <a:lstStyle/>
          <a:p>
            <a:pPr>
              <a:defRPr sz="800"/>
            </a:pPr>
            <a:endParaRPr lang="en-US"/>
          </a:p>
        </c:txPr>
        <c:crossAx val="179612672"/>
        <c:crosses val="autoZero"/>
        <c:auto val="1"/>
        <c:lblAlgn val="ctr"/>
        <c:lblOffset val="100"/>
      </c:catAx>
      <c:valAx>
        <c:axId val="179612672"/>
        <c:scaling>
          <c:orientation val="minMax"/>
        </c:scaling>
        <c:axPos val="l"/>
        <c:majorGridlines/>
        <c:title>
          <c:tx>
            <c:rich>
              <a:bodyPr rot="0" vert="horz"/>
              <a:lstStyle/>
              <a:p>
                <a:pPr>
                  <a:defRPr/>
                </a:pPr>
                <a:r>
                  <a:rPr lang="en-US"/>
                  <a:t>%</a:t>
                </a:r>
              </a:p>
            </c:rich>
          </c:tx>
          <c:layout/>
        </c:title>
        <c:numFmt formatCode="General" sourceLinked="1"/>
        <c:tickLblPos val="nextTo"/>
        <c:crossAx val="1796111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Tewkesbury</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7.4074074074074074</c:v>
                </c:pt>
                <c:pt idx="2">
                  <c:v>7.5691411935953417</c:v>
                </c:pt>
                <c:pt idx="3">
                  <c:v>7.3065902578796562</c:v>
                </c:pt>
                <c:pt idx="4">
                  <c:v>7.2546230440967285</c:v>
                </c:pt>
                <c:pt idx="5">
                  <c:v>7.2503419972640222</c:v>
                </c:pt>
                <c:pt idx="6">
                  <c:v>6.9053708439897701</c:v>
                </c:pt>
                <c:pt idx="7">
                  <c:v>6.5920398009950247</c:v>
                </c:pt>
                <c:pt idx="8">
                  <c:v>6.1594202898550723</c:v>
                </c:pt>
                <c:pt idx="9">
                  <c:v>6.3625450180072027</c:v>
                </c:pt>
              </c:numCache>
            </c:numRef>
          </c:val>
        </c:ser>
        <c:axId val="179672960"/>
        <c:axId val="17967449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9672960"/>
        <c:axId val="179674496"/>
      </c:lineChart>
      <c:catAx>
        <c:axId val="179672960"/>
        <c:scaling>
          <c:orientation val="minMax"/>
        </c:scaling>
        <c:axPos val="b"/>
        <c:numFmt formatCode="General" sourceLinked="1"/>
        <c:tickLblPos val="nextTo"/>
        <c:txPr>
          <a:bodyPr/>
          <a:lstStyle/>
          <a:p>
            <a:pPr>
              <a:defRPr sz="800"/>
            </a:pPr>
            <a:endParaRPr lang="en-US"/>
          </a:p>
        </c:txPr>
        <c:crossAx val="179674496"/>
        <c:crosses val="autoZero"/>
        <c:auto val="1"/>
        <c:lblAlgn val="ctr"/>
        <c:lblOffset val="100"/>
      </c:catAx>
      <c:valAx>
        <c:axId val="179674496"/>
        <c:scaling>
          <c:orientation val="minMax"/>
        </c:scaling>
        <c:axPos val="l"/>
        <c:majorGridlines/>
        <c:title>
          <c:tx>
            <c:rich>
              <a:bodyPr rot="0" vert="horz"/>
              <a:lstStyle/>
              <a:p>
                <a:pPr>
                  <a:defRPr/>
                </a:pPr>
                <a:r>
                  <a:rPr lang="en-US"/>
                  <a:t>%</a:t>
                </a:r>
              </a:p>
            </c:rich>
          </c:tx>
          <c:layout/>
        </c:title>
        <c:numFmt formatCode="General" sourceLinked="1"/>
        <c:tickLblPos val="nextTo"/>
        <c:crossAx val="179672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Tewkesbury</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6.8</c:v>
                </c:pt>
                <c:pt idx="1">
                  <c:v>6.5</c:v>
                </c:pt>
                <c:pt idx="2">
                  <c:v>7.8</c:v>
                </c:pt>
              </c:numCache>
            </c:numRef>
          </c:val>
        </c:ser>
        <c:axId val="179779840"/>
        <c:axId val="179798016"/>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9779840"/>
        <c:axId val="179798016"/>
      </c:lineChart>
      <c:catAx>
        <c:axId val="179779840"/>
        <c:scaling>
          <c:orientation val="minMax"/>
        </c:scaling>
        <c:axPos val="b"/>
        <c:numFmt formatCode="General" sourceLinked="1"/>
        <c:tickLblPos val="nextTo"/>
        <c:txPr>
          <a:bodyPr/>
          <a:lstStyle/>
          <a:p>
            <a:pPr>
              <a:defRPr sz="800"/>
            </a:pPr>
            <a:endParaRPr lang="en-US"/>
          </a:p>
        </c:txPr>
        <c:crossAx val="179798016"/>
        <c:crosses val="autoZero"/>
        <c:auto val="1"/>
        <c:lblAlgn val="ctr"/>
        <c:lblOffset val="100"/>
      </c:catAx>
      <c:valAx>
        <c:axId val="179798016"/>
        <c:scaling>
          <c:orientation val="minMax"/>
        </c:scaling>
        <c:axPos val="l"/>
        <c:majorGridlines/>
        <c:title>
          <c:tx>
            <c:rich>
              <a:bodyPr rot="0" vert="horz"/>
              <a:lstStyle/>
              <a:p>
                <a:pPr>
                  <a:defRPr/>
                </a:pPr>
                <a:r>
                  <a:rPr lang="en-US"/>
                  <a:t>%</a:t>
                </a:r>
              </a:p>
            </c:rich>
          </c:tx>
          <c:layout/>
        </c:title>
        <c:numFmt formatCode="General" sourceLinked="1"/>
        <c:tickLblPos val="nextTo"/>
        <c:crossAx val="179779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Tewkesbury</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12.74074074074074</c:v>
                </c:pt>
                <c:pt idx="2">
                  <c:v>12.22707423580786</c:v>
                </c:pt>
                <c:pt idx="3">
                  <c:v>12.177650429799426</c:v>
                </c:pt>
                <c:pt idx="4">
                  <c:v>11.379800853485063</c:v>
                </c:pt>
                <c:pt idx="5">
                  <c:v>11.764705882352942</c:v>
                </c:pt>
                <c:pt idx="6">
                  <c:v>11.764705882352942</c:v>
                </c:pt>
                <c:pt idx="7">
                  <c:v>12.189054726368159</c:v>
                </c:pt>
                <c:pt idx="8">
                  <c:v>12.560386473429952</c:v>
                </c:pt>
                <c:pt idx="9">
                  <c:v>12.845138055222089</c:v>
                </c:pt>
              </c:numCache>
            </c:numRef>
          </c:val>
        </c:ser>
        <c:axId val="179829376"/>
        <c:axId val="179708288"/>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9829376"/>
        <c:axId val="179708288"/>
      </c:lineChart>
      <c:catAx>
        <c:axId val="179829376"/>
        <c:scaling>
          <c:orientation val="minMax"/>
        </c:scaling>
        <c:axPos val="b"/>
        <c:numFmt formatCode="General" sourceLinked="1"/>
        <c:tickLblPos val="nextTo"/>
        <c:txPr>
          <a:bodyPr/>
          <a:lstStyle/>
          <a:p>
            <a:pPr>
              <a:defRPr sz="800"/>
            </a:pPr>
            <a:endParaRPr lang="en-US"/>
          </a:p>
        </c:txPr>
        <c:crossAx val="179708288"/>
        <c:crosses val="autoZero"/>
        <c:auto val="1"/>
        <c:lblAlgn val="ctr"/>
        <c:lblOffset val="100"/>
      </c:catAx>
      <c:valAx>
        <c:axId val="179708288"/>
        <c:scaling>
          <c:orientation val="minMax"/>
        </c:scaling>
        <c:axPos val="l"/>
        <c:majorGridlines/>
        <c:title>
          <c:tx>
            <c:rich>
              <a:bodyPr rot="0" vert="horz"/>
              <a:lstStyle/>
              <a:p>
                <a:pPr>
                  <a:defRPr/>
                </a:pPr>
                <a:r>
                  <a:rPr lang="en-US"/>
                  <a:t>%</a:t>
                </a:r>
              </a:p>
            </c:rich>
          </c:tx>
          <c:layout/>
        </c:title>
        <c:numFmt formatCode="General" sourceLinked="1"/>
        <c:tickLblPos val="nextTo"/>
        <c:crossAx val="179829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Tewkesbury</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2.2999999999999998</c:v>
                </c:pt>
                <c:pt idx="1">
                  <c:v>2.2000000000000002</c:v>
                </c:pt>
                <c:pt idx="2">
                  <c:v>1.8</c:v>
                </c:pt>
              </c:numCache>
            </c:numRef>
          </c:val>
        </c:ser>
        <c:axId val="179735552"/>
        <c:axId val="179753728"/>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9735552"/>
        <c:axId val="179753728"/>
      </c:lineChart>
      <c:catAx>
        <c:axId val="179735552"/>
        <c:scaling>
          <c:orientation val="minMax"/>
        </c:scaling>
        <c:axPos val="b"/>
        <c:numFmt formatCode="General" sourceLinked="1"/>
        <c:tickLblPos val="nextTo"/>
        <c:txPr>
          <a:bodyPr/>
          <a:lstStyle/>
          <a:p>
            <a:pPr>
              <a:defRPr sz="800"/>
            </a:pPr>
            <a:endParaRPr lang="en-US"/>
          </a:p>
        </c:txPr>
        <c:crossAx val="179753728"/>
        <c:crosses val="autoZero"/>
        <c:auto val="1"/>
        <c:lblAlgn val="ctr"/>
        <c:lblOffset val="100"/>
      </c:catAx>
      <c:valAx>
        <c:axId val="179753728"/>
        <c:scaling>
          <c:orientation val="minMax"/>
        </c:scaling>
        <c:axPos val="l"/>
        <c:majorGridlines/>
        <c:title>
          <c:tx>
            <c:rich>
              <a:bodyPr rot="0" vert="horz"/>
              <a:lstStyle/>
              <a:p>
                <a:pPr>
                  <a:defRPr/>
                </a:pPr>
                <a:r>
                  <a:rPr lang="en-US"/>
                  <a:t>%</a:t>
                </a:r>
              </a:p>
            </c:rich>
          </c:tx>
          <c:layout/>
        </c:title>
        <c:numFmt formatCode="General" sourceLinked="1"/>
        <c:tickLblPos val="nextTo"/>
        <c:crossAx val="1797355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Tewkesbury</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3.4074074074074074</c:v>
                </c:pt>
                <c:pt idx="2">
                  <c:v>3.63901018922853</c:v>
                </c:pt>
                <c:pt idx="3">
                  <c:v>3.5816618911174785</c:v>
                </c:pt>
                <c:pt idx="4">
                  <c:v>3.6984352773826457</c:v>
                </c:pt>
                <c:pt idx="5">
                  <c:v>3.4199726402188784</c:v>
                </c:pt>
                <c:pt idx="6">
                  <c:v>3.3248081841432224</c:v>
                </c:pt>
                <c:pt idx="7">
                  <c:v>3.1094527363184081</c:v>
                </c:pt>
                <c:pt idx="8">
                  <c:v>3.1400966183574881</c:v>
                </c:pt>
                <c:pt idx="9">
                  <c:v>3.3613445378151261</c:v>
                </c:pt>
              </c:numCache>
            </c:numRef>
          </c:val>
        </c:ser>
        <c:axId val="179862528"/>
        <c:axId val="17987251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9862528"/>
        <c:axId val="179872512"/>
      </c:lineChart>
      <c:catAx>
        <c:axId val="179862528"/>
        <c:scaling>
          <c:orientation val="minMax"/>
        </c:scaling>
        <c:axPos val="b"/>
        <c:numFmt formatCode="General" sourceLinked="1"/>
        <c:tickLblPos val="nextTo"/>
        <c:txPr>
          <a:bodyPr/>
          <a:lstStyle/>
          <a:p>
            <a:pPr>
              <a:defRPr sz="800"/>
            </a:pPr>
            <a:endParaRPr lang="en-US"/>
          </a:p>
        </c:txPr>
        <c:crossAx val="179872512"/>
        <c:crosses val="autoZero"/>
        <c:auto val="1"/>
        <c:lblAlgn val="ctr"/>
        <c:lblOffset val="100"/>
      </c:catAx>
      <c:valAx>
        <c:axId val="179872512"/>
        <c:scaling>
          <c:orientation val="minMax"/>
        </c:scaling>
        <c:axPos val="l"/>
        <c:majorGridlines/>
        <c:title>
          <c:tx>
            <c:rich>
              <a:bodyPr rot="0" vert="horz"/>
              <a:lstStyle/>
              <a:p>
                <a:pPr>
                  <a:defRPr/>
                </a:pPr>
                <a:r>
                  <a:rPr lang="en-US"/>
                  <a:t>%</a:t>
                </a:r>
              </a:p>
            </c:rich>
          </c:tx>
          <c:layout/>
        </c:title>
        <c:numFmt formatCode="General" sourceLinked="1"/>
        <c:tickLblPos val="nextTo"/>
        <c:crossAx val="1798625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Tewkesbury</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4.5</c:v>
                </c:pt>
                <c:pt idx="1">
                  <c:v>4.9000000000000004</c:v>
                </c:pt>
                <c:pt idx="2">
                  <c:v>4.4000000000000004</c:v>
                </c:pt>
              </c:numCache>
            </c:numRef>
          </c:val>
        </c:ser>
        <c:axId val="179887488"/>
        <c:axId val="17991385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9887488"/>
        <c:axId val="179913856"/>
      </c:lineChart>
      <c:catAx>
        <c:axId val="179887488"/>
        <c:scaling>
          <c:orientation val="minMax"/>
        </c:scaling>
        <c:axPos val="b"/>
        <c:numFmt formatCode="General" sourceLinked="1"/>
        <c:tickLblPos val="nextTo"/>
        <c:txPr>
          <a:bodyPr/>
          <a:lstStyle/>
          <a:p>
            <a:pPr>
              <a:defRPr sz="800"/>
            </a:pPr>
            <a:endParaRPr lang="en-US"/>
          </a:p>
        </c:txPr>
        <c:crossAx val="179913856"/>
        <c:crosses val="autoZero"/>
        <c:auto val="1"/>
        <c:lblAlgn val="ctr"/>
        <c:lblOffset val="100"/>
      </c:catAx>
      <c:valAx>
        <c:axId val="179913856"/>
        <c:scaling>
          <c:orientation val="minMax"/>
        </c:scaling>
        <c:axPos val="l"/>
        <c:majorGridlines/>
        <c:title>
          <c:tx>
            <c:rich>
              <a:bodyPr rot="0" vert="horz"/>
              <a:lstStyle/>
              <a:p>
                <a:pPr>
                  <a:defRPr/>
                </a:pPr>
                <a:r>
                  <a:rPr lang="en-US"/>
                  <a:t>%</a:t>
                </a:r>
              </a:p>
            </c:rich>
          </c:tx>
          <c:layout/>
        </c:title>
        <c:numFmt formatCode="General" sourceLinked="1"/>
        <c:tickLblPos val="nextTo"/>
        <c:crossAx val="179887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Tewkesbury</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4.7407407407407405</c:v>
                </c:pt>
                <c:pt idx="2">
                  <c:v>4.6579330422125178</c:v>
                </c:pt>
                <c:pt idx="3">
                  <c:v>4.7277936962750715</c:v>
                </c:pt>
                <c:pt idx="4">
                  <c:v>4.8364153627311524</c:v>
                </c:pt>
                <c:pt idx="5">
                  <c:v>4.6511627906976747</c:v>
                </c:pt>
                <c:pt idx="6">
                  <c:v>4.3478260869565215</c:v>
                </c:pt>
                <c:pt idx="7">
                  <c:v>4.1044776119402986</c:v>
                </c:pt>
                <c:pt idx="8">
                  <c:v>3.9855072463768115</c:v>
                </c:pt>
                <c:pt idx="9">
                  <c:v>3.9615846338535414</c:v>
                </c:pt>
              </c:numCache>
            </c:numRef>
          </c:val>
        </c:ser>
        <c:axId val="179941376"/>
        <c:axId val="17994291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9941376"/>
        <c:axId val="179942912"/>
      </c:lineChart>
      <c:catAx>
        <c:axId val="179941376"/>
        <c:scaling>
          <c:orientation val="minMax"/>
        </c:scaling>
        <c:axPos val="b"/>
        <c:numFmt formatCode="General" sourceLinked="1"/>
        <c:tickLblPos val="nextTo"/>
        <c:txPr>
          <a:bodyPr/>
          <a:lstStyle/>
          <a:p>
            <a:pPr>
              <a:defRPr sz="800"/>
            </a:pPr>
            <a:endParaRPr lang="en-US"/>
          </a:p>
        </c:txPr>
        <c:crossAx val="179942912"/>
        <c:crosses val="autoZero"/>
        <c:auto val="1"/>
        <c:lblAlgn val="ctr"/>
        <c:lblOffset val="100"/>
      </c:catAx>
      <c:valAx>
        <c:axId val="179942912"/>
        <c:scaling>
          <c:orientation val="minMax"/>
        </c:scaling>
        <c:axPos val="l"/>
        <c:majorGridlines/>
        <c:title>
          <c:tx>
            <c:rich>
              <a:bodyPr rot="0" vert="horz"/>
              <a:lstStyle/>
              <a:p>
                <a:pPr>
                  <a:defRPr/>
                </a:pPr>
                <a:r>
                  <a:rPr lang="en-US"/>
                  <a:t>%</a:t>
                </a:r>
              </a:p>
            </c:rich>
          </c:tx>
          <c:layout/>
        </c:title>
        <c:numFmt formatCode="General" sourceLinked="1"/>
        <c:tickLblPos val="nextTo"/>
        <c:crossAx val="179941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Tewkesbury</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59.758467204410401</c:v>
                </c:pt>
                <c:pt idx="2">
                  <c:v>59.412231043222903</c:v>
                </c:pt>
                <c:pt idx="3">
                  <c:v>58.922718695167575</c:v>
                </c:pt>
                <c:pt idx="4">
                  <c:v>58.559334976981653</c:v>
                </c:pt>
                <c:pt idx="5">
                  <c:v>58.289825681739728</c:v>
                </c:pt>
                <c:pt idx="6">
                  <c:v>57.957855428114165</c:v>
                </c:pt>
                <c:pt idx="7">
                  <c:v>57.663879033620546</c:v>
                </c:pt>
                <c:pt idx="8">
                  <c:v>57.34065359477124</c:v>
                </c:pt>
                <c:pt idx="9">
                  <c:v>57.022524295986244</c:v>
                </c:pt>
                <c:pt idx="10">
                  <c:v>56.720203742118343</c:v>
                </c:pt>
                <c:pt idx="11">
                  <c:v>56.419500371716921</c:v>
                </c:pt>
                <c:pt idx="12">
                  <c:v>56.109095686092218</c:v>
                </c:pt>
                <c:pt idx="13">
                  <c:v>55.807888295951528</c:v>
                </c:pt>
                <c:pt idx="14">
                  <c:v>55.411449461594401</c:v>
                </c:pt>
                <c:pt idx="15">
                  <c:v>55.122216724393866</c:v>
                </c:pt>
                <c:pt idx="16">
                  <c:v>54.751976712167107</c:v>
                </c:pt>
                <c:pt idx="17">
                  <c:v>54.405310028642091</c:v>
                </c:pt>
                <c:pt idx="18">
                  <c:v>54.086234715499309</c:v>
                </c:pt>
                <c:pt idx="19">
                  <c:v>53.768897653017824</c:v>
                </c:pt>
                <c:pt idx="20">
                  <c:v>53.581008970550059</c:v>
                </c:pt>
                <c:pt idx="21">
                  <c:v>53.346788078203311</c:v>
                </c:pt>
                <c:pt idx="22">
                  <c:v>53.145076092853266</c:v>
                </c:pt>
                <c:pt idx="23">
                  <c:v>52.989817665166946</c:v>
                </c:pt>
                <c:pt idx="24">
                  <c:v>52.888105361402054</c:v>
                </c:pt>
                <c:pt idx="25">
                  <c:v>52.840493215472101</c:v>
                </c:pt>
                <c:pt idx="26">
                  <c:v>52.814908224744293</c:v>
                </c:pt>
              </c:numCache>
            </c:numRef>
          </c:val>
        </c:ser>
        <c:marker val="1"/>
        <c:axId val="178988544"/>
        <c:axId val="178990080"/>
      </c:lineChart>
      <c:catAx>
        <c:axId val="178988544"/>
        <c:scaling>
          <c:orientation val="minMax"/>
        </c:scaling>
        <c:axPos val="b"/>
        <c:numFmt formatCode="General" sourceLinked="1"/>
        <c:tickLblPos val="nextTo"/>
        <c:txPr>
          <a:bodyPr/>
          <a:lstStyle/>
          <a:p>
            <a:pPr>
              <a:defRPr sz="900"/>
            </a:pPr>
            <a:endParaRPr lang="en-US"/>
          </a:p>
        </c:txPr>
        <c:crossAx val="178990080"/>
        <c:crosses val="autoZero"/>
        <c:auto val="1"/>
        <c:lblAlgn val="ctr"/>
        <c:lblOffset val="100"/>
      </c:catAx>
      <c:valAx>
        <c:axId val="178990080"/>
        <c:scaling>
          <c:orientation val="minMax"/>
        </c:scaling>
        <c:axPos val="l"/>
        <c:majorGridlines/>
        <c:title>
          <c:tx>
            <c:rich>
              <a:bodyPr rot="0" vert="horz"/>
              <a:lstStyle/>
              <a:p>
                <a:pPr>
                  <a:defRPr/>
                </a:pPr>
                <a:r>
                  <a:rPr lang="en-US"/>
                  <a:t>%</a:t>
                </a:r>
              </a:p>
            </c:rich>
          </c:tx>
          <c:layout/>
        </c:title>
        <c:numFmt formatCode="General" sourceLinked="1"/>
        <c:tickLblPos val="nextTo"/>
        <c:crossAx val="178988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Tewkesbury</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5.7</c:v>
                </c:pt>
                <c:pt idx="1">
                  <c:v>5.4</c:v>
                </c:pt>
                <c:pt idx="2">
                  <c:v>5.6</c:v>
                </c:pt>
              </c:numCache>
            </c:numRef>
          </c:val>
        </c:ser>
        <c:axId val="180019584"/>
        <c:axId val="18002112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80019584"/>
        <c:axId val="180021120"/>
      </c:lineChart>
      <c:catAx>
        <c:axId val="180019584"/>
        <c:scaling>
          <c:orientation val="minMax"/>
        </c:scaling>
        <c:axPos val="b"/>
        <c:numFmt formatCode="General" sourceLinked="1"/>
        <c:tickLblPos val="nextTo"/>
        <c:txPr>
          <a:bodyPr/>
          <a:lstStyle/>
          <a:p>
            <a:pPr>
              <a:defRPr sz="800"/>
            </a:pPr>
            <a:endParaRPr lang="en-US"/>
          </a:p>
        </c:txPr>
        <c:crossAx val="180021120"/>
        <c:crosses val="autoZero"/>
        <c:auto val="1"/>
        <c:lblAlgn val="ctr"/>
        <c:lblOffset val="100"/>
      </c:catAx>
      <c:valAx>
        <c:axId val="180021120"/>
        <c:scaling>
          <c:orientation val="minMax"/>
        </c:scaling>
        <c:axPos val="l"/>
        <c:majorGridlines/>
        <c:title>
          <c:tx>
            <c:rich>
              <a:bodyPr rot="0" vert="horz"/>
              <a:lstStyle/>
              <a:p>
                <a:pPr>
                  <a:defRPr/>
                </a:pPr>
                <a:r>
                  <a:rPr lang="en-US"/>
                  <a:t>%</a:t>
                </a:r>
              </a:p>
            </c:rich>
          </c:tx>
          <c:layout/>
        </c:title>
        <c:numFmt formatCode="General" sourceLinked="1"/>
        <c:tickLblPos val="nextTo"/>
        <c:crossAx val="1800195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Tewkesbury</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6.9629629629629628</c:v>
                </c:pt>
                <c:pt idx="2">
                  <c:v>6.8413391557496359</c:v>
                </c:pt>
                <c:pt idx="3">
                  <c:v>7.1633237822349569</c:v>
                </c:pt>
                <c:pt idx="4">
                  <c:v>6.543385490753912</c:v>
                </c:pt>
                <c:pt idx="5">
                  <c:v>5.882352941176471</c:v>
                </c:pt>
                <c:pt idx="6">
                  <c:v>5.7544757033248084</c:v>
                </c:pt>
                <c:pt idx="7">
                  <c:v>5.2238805970149258</c:v>
                </c:pt>
                <c:pt idx="8">
                  <c:v>5.3140096618357484</c:v>
                </c:pt>
                <c:pt idx="9">
                  <c:v>5.4021608643457384</c:v>
                </c:pt>
              </c:numCache>
            </c:numRef>
          </c:val>
        </c:ser>
        <c:axId val="180056832"/>
        <c:axId val="18005836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80056832"/>
        <c:axId val="180058368"/>
      </c:lineChart>
      <c:catAx>
        <c:axId val="180056832"/>
        <c:scaling>
          <c:orientation val="minMax"/>
        </c:scaling>
        <c:axPos val="b"/>
        <c:numFmt formatCode="General" sourceLinked="1"/>
        <c:tickLblPos val="nextTo"/>
        <c:txPr>
          <a:bodyPr/>
          <a:lstStyle/>
          <a:p>
            <a:pPr>
              <a:defRPr sz="800"/>
            </a:pPr>
            <a:endParaRPr lang="en-US"/>
          </a:p>
        </c:txPr>
        <c:crossAx val="180058368"/>
        <c:crosses val="autoZero"/>
        <c:auto val="1"/>
        <c:lblAlgn val="ctr"/>
        <c:lblOffset val="100"/>
      </c:catAx>
      <c:valAx>
        <c:axId val="180058368"/>
        <c:scaling>
          <c:orientation val="minMax"/>
        </c:scaling>
        <c:axPos val="l"/>
        <c:majorGridlines/>
        <c:title>
          <c:tx>
            <c:rich>
              <a:bodyPr rot="0" vert="horz"/>
              <a:lstStyle/>
              <a:p>
                <a:pPr>
                  <a:defRPr/>
                </a:pPr>
                <a:r>
                  <a:rPr lang="en-US"/>
                  <a:t>%</a:t>
                </a:r>
              </a:p>
            </c:rich>
          </c:tx>
          <c:layout/>
        </c:title>
        <c:numFmt formatCode="General" sourceLinked="1"/>
        <c:tickLblPos val="nextTo"/>
        <c:crossAx val="180056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Tewkesbury</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5.7</c:v>
                </c:pt>
                <c:pt idx="1">
                  <c:v>3.8</c:v>
                </c:pt>
                <c:pt idx="2">
                  <c:v>3.9</c:v>
                </c:pt>
              </c:numCache>
            </c:numRef>
          </c:val>
        </c:ser>
        <c:axId val="180110464"/>
        <c:axId val="18011200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80110464"/>
        <c:axId val="180112000"/>
      </c:lineChart>
      <c:catAx>
        <c:axId val="180110464"/>
        <c:scaling>
          <c:orientation val="minMax"/>
        </c:scaling>
        <c:axPos val="b"/>
        <c:numFmt formatCode="General" sourceLinked="1"/>
        <c:tickLblPos val="nextTo"/>
        <c:txPr>
          <a:bodyPr/>
          <a:lstStyle/>
          <a:p>
            <a:pPr>
              <a:defRPr sz="800"/>
            </a:pPr>
            <a:endParaRPr lang="en-US"/>
          </a:p>
        </c:txPr>
        <c:crossAx val="180112000"/>
        <c:crosses val="autoZero"/>
        <c:auto val="1"/>
        <c:lblAlgn val="ctr"/>
        <c:lblOffset val="100"/>
      </c:catAx>
      <c:valAx>
        <c:axId val="180112000"/>
        <c:scaling>
          <c:orientation val="minMax"/>
        </c:scaling>
        <c:axPos val="l"/>
        <c:majorGridlines/>
        <c:title>
          <c:tx>
            <c:rich>
              <a:bodyPr rot="0" vert="horz"/>
              <a:lstStyle/>
              <a:p>
                <a:pPr>
                  <a:defRPr/>
                </a:pPr>
                <a:r>
                  <a:rPr lang="en-US"/>
                  <a:t>%</a:t>
                </a:r>
              </a:p>
            </c:rich>
          </c:tx>
          <c:layout/>
        </c:title>
        <c:numFmt formatCode="General" sourceLinked="1"/>
        <c:tickLblPos val="nextTo"/>
        <c:crossAx val="180110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Tewkesbury</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2.9629629629629628</c:v>
                </c:pt>
                <c:pt idx="2">
                  <c:v>3.2023289665211063</c:v>
                </c:pt>
                <c:pt idx="3">
                  <c:v>3.0085959885386822</c:v>
                </c:pt>
                <c:pt idx="4">
                  <c:v>3.1294452347083928</c:v>
                </c:pt>
                <c:pt idx="5">
                  <c:v>3.2831737346101231</c:v>
                </c:pt>
                <c:pt idx="6">
                  <c:v>3.452685421994885</c:v>
                </c:pt>
                <c:pt idx="7">
                  <c:v>3.4825870646766171</c:v>
                </c:pt>
                <c:pt idx="8">
                  <c:v>3.3816425120772946</c:v>
                </c:pt>
                <c:pt idx="9">
                  <c:v>3.1212484993997598</c:v>
                </c:pt>
              </c:numCache>
            </c:numRef>
          </c:val>
        </c:ser>
        <c:axId val="180139520"/>
        <c:axId val="18014105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80139520"/>
        <c:axId val="180141056"/>
      </c:lineChart>
      <c:catAx>
        <c:axId val="180139520"/>
        <c:scaling>
          <c:orientation val="minMax"/>
        </c:scaling>
        <c:axPos val="b"/>
        <c:numFmt formatCode="General" sourceLinked="1"/>
        <c:tickLblPos val="nextTo"/>
        <c:txPr>
          <a:bodyPr/>
          <a:lstStyle/>
          <a:p>
            <a:pPr>
              <a:defRPr sz="800"/>
            </a:pPr>
            <a:endParaRPr lang="en-US"/>
          </a:p>
        </c:txPr>
        <c:crossAx val="180141056"/>
        <c:crosses val="autoZero"/>
        <c:auto val="1"/>
        <c:lblAlgn val="ctr"/>
        <c:lblOffset val="100"/>
      </c:catAx>
      <c:valAx>
        <c:axId val="180141056"/>
        <c:scaling>
          <c:orientation val="minMax"/>
        </c:scaling>
        <c:axPos val="l"/>
        <c:majorGridlines/>
        <c:title>
          <c:tx>
            <c:rich>
              <a:bodyPr rot="0" vert="horz"/>
              <a:lstStyle/>
              <a:p>
                <a:pPr>
                  <a:defRPr/>
                </a:pPr>
                <a:r>
                  <a:rPr lang="en-US"/>
                  <a:t>%</a:t>
                </a:r>
              </a:p>
            </c:rich>
          </c:tx>
          <c:layout/>
        </c:title>
        <c:numFmt formatCode="General" sourceLinked="1"/>
        <c:tickLblPos val="nextTo"/>
        <c:crossAx val="180139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Tewkesbury</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5.7</c:v>
                </c:pt>
                <c:pt idx="1">
                  <c:v>6.5</c:v>
                </c:pt>
                <c:pt idx="2">
                  <c:v>6.7</c:v>
                </c:pt>
              </c:numCache>
            </c:numRef>
          </c:val>
        </c:ser>
        <c:axId val="180193152"/>
        <c:axId val="18019468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80193152"/>
        <c:axId val="180194688"/>
      </c:lineChart>
      <c:catAx>
        <c:axId val="180193152"/>
        <c:scaling>
          <c:orientation val="minMax"/>
        </c:scaling>
        <c:axPos val="b"/>
        <c:numFmt formatCode="General" sourceLinked="1"/>
        <c:tickLblPos val="nextTo"/>
        <c:txPr>
          <a:bodyPr/>
          <a:lstStyle/>
          <a:p>
            <a:pPr>
              <a:defRPr sz="800"/>
            </a:pPr>
            <a:endParaRPr lang="en-US"/>
          </a:p>
        </c:txPr>
        <c:crossAx val="180194688"/>
        <c:crosses val="autoZero"/>
        <c:auto val="1"/>
        <c:lblAlgn val="ctr"/>
        <c:lblOffset val="100"/>
      </c:catAx>
      <c:valAx>
        <c:axId val="180194688"/>
        <c:scaling>
          <c:orientation val="minMax"/>
        </c:scaling>
        <c:axPos val="l"/>
        <c:majorGridlines/>
        <c:title>
          <c:tx>
            <c:rich>
              <a:bodyPr rot="0" vert="horz"/>
              <a:lstStyle/>
              <a:p>
                <a:pPr>
                  <a:defRPr/>
                </a:pPr>
                <a:r>
                  <a:rPr lang="en-US"/>
                  <a:t>%</a:t>
                </a:r>
              </a:p>
            </c:rich>
          </c:tx>
          <c:layout/>
        </c:title>
        <c:numFmt formatCode="General" sourceLinked="1"/>
        <c:tickLblPos val="nextTo"/>
        <c:crossAx val="180193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Tewkesbury</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4.5925925925925926</c:v>
                </c:pt>
                <c:pt idx="2">
                  <c:v>4.8034934497816595</c:v>
                </c:pt>
                <c:pt idx="3">
                  <c:v>4.4412607449856729</c:v>
                </c:pt>
                <c:pt idx="4">
                  <c:v>3.9829302987197726</c:v>
                </c:pt>
                <c:pt idx="5">
                  <c:v>3.9671682626538987</c:v>
                </c:pt>
                <c:pt idx="6">
                  <c:v>4.0920716112531972</c:v>
                </c:pt>
                <c:pt idx="7">
                  <c:v>3.9800995024875623</c:v>
                </c:pt>
                <c:pt idx="8">
                  <c:v>3.743961352657005</c:v>
                </c:pt>
                <c:pt idx="9">
                  <c:v>3.7214885954381751</c:v>
                </c:pt>
              </c:numCache>
            </c:numRef>
          </c:val>
        </c:ser>
        <c:axId val="180308224"/>
        <c:axId val="1803182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80308224"/>
        <c:axId val="180318208"/>
      </c:lineChart>
      <c:catAx>
        <c:axId val="180308224"/>
        <c:scaling>
          <c:orientation val="minMax"/>
        </c:scaling>
        <c:axPos val="b"/>
        <c:numFmt formatCode="General" sourceLinked="1"/>
        <c:tickLblPos val="nextTo"/>
        <c:txPr>
          <a:bodyPr/>
          <a:lstStyle/>
          <a:p>
            <a:pPr>
              <a:defRPr sz="800"/>
            </a:pPr>
            <a:endParaRPr lang="en-US"/>
          </a:p>
        </c:txPr>
        <c:crossAx val="180318208"/>
        <c:crosses val="autoZero"/>
        <c:auto val="1"/>
        <c:lblAlgn val="ctr"/>
        <c:lblOffset val="100"/>
      </c:catAx>
      <c:valAx>
        <c:axId val="180318208"/>
        <c:scaling>
          <c:orientation val="minMax"/>
        </c:scaling>
        <c:axPos val="l"/>
        <c:majorGridlines/>
        <c:title>
          <c:tx>
            <c:rich>
              <a:bodyPr rot="0" vert="horz"/>
              <a:lstStyle/>
              <a:p>
                <a:pPr>
                  <a:defRPr/>
                </a:pPr>
                <a:r>
                  <a:rPr lang="en-US"/>
                  <a:t>%</a:t>
                </a:r>
              </a:p>
            </c:rich>
          </c:tx>
          <c:layout/>
        </c:title>
        <c:numFmt formatCode="General" sourceLinked="1"/>
        <c:tickLblPos val="nextTo"/>
        <c:crossAx val="180308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Tewkesbury</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3.4</c:v>
                </c:pt>
                <c:pt idx="1">
                  <c:v>3.8</c:v>
                </c:pt>
                <c:pt idx="2">
                  <c:v>3.9</c:v>
                </c:pt>
              </c:numCache>
            </c:numRef>
          </c:val>
        </c:ser>
        <c:axId val="180230784"/>
        <c:axId val="18025305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80230784"/>
        <c:axId val="180253056"/>
      </c:lineChart>
      <c:catAx>
        <c:axId val="180230784"/>
        <c:scaling>
          <c:orientation val="minMax"/>
        </c:scaling>
        <c:axPos val="b"/>
        <c:numFmt formatCode="General" sourceLinked="1"/>
        <c:tickLblPos val="nextTo"/>
        <c:txPr>
          <a:bodyPr/>
          <a:lstStyle/>
          <a:p>
            <a:pPr>
              <a:defRPr sz="800"/>
            </a:pPr>
            <a:endParaRPr lang="en-US"/>
          </a:p>
        </c:txPr>
        <c:crossAx val="180253056"/>
        <c:crosses val="autoZero"/>
        <c:auto val="1"/>
        <c:lblAlgn val="ctr"/>
        <c:lblOffset val="100"/>
      </c:catAx>
      <c:valAx>
        <c:axId val="180253056"/>
        <c:scaling>
          <c:orientation val="minMax"/>
        </c:scaling>
        <c:axPos val="l"/>
        <c:majorGridlines/>
        <c:title>
          <c:tx>
            <c:rich>
              <a:bodyPr rot="0" vert="horz"/>
              <a:lstStyle/>
              <a:p>
                <a:pPr>
                  <a:defRPr/>
                </a:pPr>
                <a:r>
                  <a:rPr lang="en-US"/>
                  <a:t>%</a:t>
                </a:r>
              </a:p>
            </c:rich>
          </c:tx>
          <c:layout/>
        </c:title>
        <c:numFmt formatCode="General" sourceLinked="1"/>
        <c:tickLblPos val="nextTo"/>
        <c:crossAx val="1802307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Tewkesbury</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7.4074074074074074</c:v>
                </c:pt>
                <c:pt idx="2">
                  <c:v>7.4235807860262009</c:v>
                </c:pt>
                <c:pt idx="3">
                  <c:v>7.5931232091690548</c:v>
                </c:pt>
                <c:pt idx="4">
                  <c:v>7.9658605974395451</c:v>
                </c:pt>
                <c:pt idx="5">
                  <c:v>7.9343365253077973</c:v>
                </c:pt>
                <c:pt idx="6">
                  <c:v>8.0562659846547309</c:v>
                </c:pt>
                <c:pt idx="7">
                  <c:v>8.5820895522388057</c:v>
                </c:pt>
                <c:pt idx="8">
                  <c:v>8.9371980676328509</c:v>
                </c:pt>
                <c:pt idx="9">
                  <c:v>8.8835534213685481</c:v>
                </c:pt>
              </c:numCache>
            </c:numRef>
          </c:val>
        </c:ser>
        <c:axId val="180272512"/>
        <c:axId val="180348032"/>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80272512"/>
        <c:axId val="180348032"/>
      </c:lineChart>
      <c:catAx>
        <c:axId val="180272512"/>
        <c:scaling>
          <c:orientation val="minMax"/>
        </c:scaling>
        <c:axPos val="b"/>
        <c:numFmt formatCode="General" sourceLinked="1"/>
        <c:tickLblPos val="nextTo"/>
        <c:txPr>
          <a:bodyPr/>
          <a:lstStyle/>
          <a:p>
            <a:pPr>
              <a:defRPr sz="800"/>
            </a:pPr>
            <a:endParaRPr lang="en-US"/>
          </a:p>
        </c:txPr>
        <c:crossAx val="180348032"/>
        <c:crosses val="autoZero"/>
        <c:auto val="1"/>
        <c:lblAlgn val="ctr"/>
        <c:lblOffset val="100"/>
      </c:catAx>
      <c:valAx>
        <c:axId val="180348032"/>
        <c:scaling>
          <c:orientation val="minMax"/>
        </c:scaling>
        <c:axPos val="l"/>
        <c:majorGridlines/>
        <c:title>
          <c:tx>
            <c:rich>
              <a:bodyPr rot="0" vert="horz"/>
              <a:lstStyle/>
              <a:p>
                <a:pPr>
                  <a:defRPr/>
                </a:pPr>
                <a:r>
                  <a:rPr lang="en-US"/>
                  <a:t>%</a:t>
                </a:r>
              </a:p>
            </c:rich>
          </c:tx>
          <c:layout/>
        </c:title>
        <c:numFmt formatCode="General" sourceLinked="1"/>
        <c:tickLblPos val="nextTo"/>
        <c:crossAx val="180272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Tewkesbury</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5.7</c:v>
                </c:pt>
                <c:pt idx="1">
                  <c:v>6.5</c:v>
                </c:pt>
                <c:pt idx="2">
                  <c:v>4.4000000000000004</c:v>
                </c:pt>
              </c:numCache>
            </c:numRef>
          </c:val>
        </c:ser>
        <c:axId val="180391936"/>
        <c:axId val="180393472"/>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80391936"/>
        <c:axId val="180393472"/>
      </c:lineChart>
      <c:catAx>
        <c:axId val="180391936"/>
        <c:scaling>
          <c:orientation val="minMax"/>
        </c:scaling>
        <c:axPos val="b"/>
        <c:numFmt formatCode="General" sourceLinked="1"/>
        <c:tickLblPos val="nextTo"/>
        <c:txPr>
          <a:bodyPr/>
          <a:lstStyle/>
          <a:p>
            <a:pPr>
              <a:defRPr sz="800"/>
            </a:pPr>
            <a:endParaRPr lang="en-US"/>
          </a:p>
        </c:txPr>
        <c:crossAx val="180393472"/>
        <c:crosses val="autoZero"/>
        <c:auto val="1"/>
        <c:lblAlgn val="ctr"/>
        <c:lblOffset val="100"/>
      </c:catAx>
      <c:valAx>
        <c:axId val="180393472"/>
        <c:scaling>
          <c:orientation val="minMax"/>
        </c:scaling>
        <c:axPos val="l"/>
        <c:majorGridlines/>
        <c:title>
          <c:tx>
            <c:rich>
              <a:bodyPr rot="0" vert="horz"/>
              <a:lstStyle/>
              <a:p>
                <a:pPr>
                  <a:defRPr/>
                </a:pPr>
                <a:r>
                  <a:rPr lang="en-US"/>
                  <a:t>%</a:t>
                </a:r>
              </a:p>
            </c:rich>
          </c:tx>
          <c:layout/>
        </c:title>
        <c:numFmt formatCode="General" sourceLinked="1"/>
        <c:tickLblPos val="nextTo"/>
        <c:crossAx val="18039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Tewkesbury</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1.6296296296296295</c:v>
                </c:pt>
                <c:pt idx="2">
                  <c:v>1.4556040756914119</c:v>
                </c:pt>
                <c:pt idx="3">
                  <c:v>1.5759312320916905</c:v>
                </c:pt>
                <c:pt idx="4">
                  <c:v>1.7069701280227596</c:v>
                </c:pt>
                <c:pt idx="5">
                  <c:v>1.6415868673050615</c:v>
                </c:pt>
                <c:pt idx="6">
                  <c:v>1.6624040920716112</c:v>
                </c:pt>
                <c:pt idx="7">
                  <c:v>1.8656716417910448</c:v>
                </c:pt>
                <c:pt idx="8">
                  <c:v>1.932367149758454</c:v>
                </c:pt>
                <c:pt idx="9">
                  <c:v>2.0408163265306123</c:v>
                </c:pt>
              </c:numCache>
            </c:numRef>
          </c:val>
        </c:ser>
        <c:axId val="180441472"/>
        <c:axId val="18044300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80441472"/>
        <c:axId val="180443008"/>
      </c:lineChart>
      <c:catAx>
        <c:axId val="180441472"/>
        <c:scaling>
          <c:orientation val="minMax"/>
        </c:scaling>
        <c:axPos val="b"/>
        <c:numFmt formatCode="General" sourceLinked="1"/>
        <c:tickLblPos val="nextTo"/>
        <c:txPr>
          <a:bodyPr/>
          <a:lstStyle/>
          <a:p>
            <a:pPr>
              <a:defRPr sz="800"/>
            </a:pPr>
            <a:endParaRPr lang="en-US"/>
          </a:p>
        </c:txPr>
        <c:crossAx val="180443008"/>
        <c:crosses val="autoZero"/>
        <c:auto val="1"/>
        <c:lblAlgn val="ctr"/>
        <c:lblOffset val="100"/>
      </c:catAx>
      <c:valAx>
        <c:axId val="180443008"/>
        <c:scaling>
          <c:orientation val="minMax"/>
        </c:scaling>
        <c:axPos val="l"/>
        <c:majorGridlines/>
        <c:title>
          <c:tx>
            <c:rich>
              <a:bodyPr rot="0" vert="horz"/>
              <a:lstStyle/>
              <a:p>
                <a:pPr>
                  <a:defRPr/>
                </a:pPr>
                <a:r>
                  <a:rPr lang="en-US"/>
                  <a:t>%</a:t>
                </a:r>
              </a:p>
            </c:rich>
          </c:tx>
          <c:layout/>
        </c:title>
        <c:numFmt formatCode="General" sourceLinked="1"/>
        <c:tickLblPos val="nextTo"/>
        <c:crossAx val="180441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Tewkesbury</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37.5</c:v>
                </c:pt>
                <c:pt idx="7">
                  <c:v>37.5</c:v>
                </c:pt>
                <c:pt idx="8">
                  <c:v>37.5</c:v>
                </c:pt>
                <c:pt idx="9">
                  <c:v>37.5</c:v>
                </c:pt>
                <c:pt idx="10">
                  <c:v>37.5</c:v>
                </c:pt>
                <c:pt idx="11">
                  <c:v>37.5</c:v>
                </c:pt>
              </c:numCache>
            </c:numRef>
          </c:val>
        </c:ser>
        <c:marker val="1"/>
        <c:axId val="179041792"/>
        <c:axId val="179043328"/>
      </c:lineChart>
      <c:catAx>
        <c:axId val="179041792"/>
        <c:scaling>
          <c:orientation val="minMax"/>
        </c:scaling>
        <c:axPos val="b"/>
        <c:numFmt formatCode="General" sourceLinked="1"/>
        <c:tickLblPos val="nextTo"/>
        <c:txPr>
          <a:bodyPr/>
          <a:lstStyle/>
          <a:p>
            <a:pPr>
              <a:defRPr sz="900"/>
            </a:pPr>
            <a:endParaRPr lang="en-US"/>
          </a:p>
        </c:txPr>
        <c:crossAx val="179043328"/>
        <c:crosses val="autoZero"/>
        <c:auto val="1"/>
        <c:lblAlgn val="ctr"/>
        <c:lblOffset val="100"/>
      </c:catAx>
      <c:valAx>
        <c:axId val="17904332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90417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Tewkesbury</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c:v>
                </c:pt>
                <c:pt idx="1">
                  <c:v>1.1000000000000001</c:v>
                </c:pt>
                <c:pt idx="2">
                  <c:v>1</c:v>
                </c:pt>
              </c:numCache>
            </c:numRef>
          </c:val>
        </c:ser>
        <c:axId val="180503296"/>
        <c:axId val="18050483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80503296"/>
        <c:axId val="180504832"/>
      </c:lineChart>
      <c:catAx>
        <c:axId val="180503296"/>
        <c:scaling>
          <c:orientation val="minMax"/>
        </c:scaling>
        <c:axPos val="b"/>
        <c:numFmt formatCode="General" sourceLinked="1"/>
        <c:tickLblPos val="nextTo"/>
        <c:txPr>
          <a:bodyPr/>
          <a:lstStyle/>
          <a:p>
            <a:pPr>
              <a:defRPr sz="800"/>
            </a:pPr>
            <a:endParaRPr lang="en-US"/>
          </a:p>
        </c:txPr>
        <c:crossAx val="180504832"/>
        <c:crosses val="autoZero"/>
        <c:auto val="1"/>
        <c:lblAlgn val="ctr"/>
        <c:lblOffset val="100"/>
      </c:catAx>
      <c:valAx>
        <c:axId val="180504832"/>
        <c:scaling>
          <c:orientation val="minMax"/>
        </c:scaling>
        <c:axPos val="l"/>
        <c:majorGridlines/>
        <c:title>
          <c:tx>
            <c:rich>
              <a:bodyPr rot="0" vert="horz"/>
              <a:lstStyle/>
              <a:p>
                <a:pPr>
                  <a:defRPr/>
                </a:pPr>
                <a:r>
                  <a:rPr lang="en-US"/>
                  <a:t>%</a:t>
                </a:r>
              </a:p>
            </c:rich>
          </c:tx>
          <c:layout/>
        </c:title>
        <c:numFmt formatCode="General" sourceLinked="1"/>
        <c:tickLblPos val="nextTo"/>
        <c:crossAx val="180503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Tewkesbury</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3.5555555555555554</c:v>
                </c:pt>
                <c:pt idx="2">
                  <c:v>3.3478893740902476</c:v>
                </c:pt>
                <c:pt idx="3">
                  <c:v>3.2951289398280803</c:v>
                </c:pt>
                <c:pt idx="4">
                  <c:v>3.1294452347083928</c:v>
                </c:pt>
                <c:pt idx="5">
                  <c:v>3.1463748290013678</c:v>
                </c:pt>
                <c:pt idx="6">
                  <c:v>2.9411764705882355</c:v>
                </c:pt>
                <c:pt idx="7">
                  <c:v>2.9850746268656718</c:v>
                </c:pt>
                <c:pt idx="8">
                  <c:v>3.0193236714975846</c:v>
                </c:pt>
                <c:pt idx="9">
                  <c:v>3.3613445378151261</c:v>
                </c:pt>
              </c:numCache>
            </c:numRef>
          </c:val>
        </c:ser>
        <c:axId val="180552832"/>
        <c:axId val="18055436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80552832"/>
        <c:axId val="180554368"/>
      </c:lineChart>
      <c:catAx>
        <c:axId val="180552832"/>
        <c:scaling>
          <c:orientation val="minMax"/>
        </c:scaling>
        <c:axPos val="b"/>
        <c:numFmt formatCode="General" sourceLinked="1"/>
        <c:tickLblPos val="nextTo"/>
        <c:txPr>
          <a:bodyPr/>
          <a:lstStyle/>
          <a:p>
            <a:pPr>
              <a:defRPr sz="800"/>
            </a:pPr>
            <a:endParaRPr lang="en-US"/>
          </a:p>
        </c:txPr>
        <c:crossAx val="180554368"/>
        <c:crosses val="autoZero"/>
        <c:auto val="1"/>
        <c:lblAlgn val="ctr"/>
        <c:lblOffset val="100"/>
      </c:catAx>
      <c:valAx>
        <c:axId val="180554368"/>
        <c:scaling>
          <c:orientation val="minMax"/>
        </c:scaling>
        <c:axPos val="l"/>
        <c:majorGridlines/>
        <c:title>
          <c:tx>
            <c:rich>
              <a:bodyPr rot="0" vert="horz"/>
              <a:lstStyle/>
              <a:p>
                <a:pPr>
                  <a:defRPr/>
                </a:pPr>
                <a:r>
                  <a:rPr lang="en-US"/>
                  <a:t>%</a:t>
                </a:r>
              </a:p>
            </c:rich>
          </c:tx>
          <c:layout/>
        </c:title>
        <c:numFmt formatCode="General" sourceLinked="1"/>
        <c:tickLblPos val="nextTo"/>
        <c:crossAx val="180552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Tewkesbury</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8</c:v>
                </c:pt>
                <c:pt idx="1">
                  <c:v>8.6999999999999993</c:v>
                </c:pt>
                <c:pt idx="2">
                  <c:v>10</c:v>
                </c:pt>
              </c:numCache>
            </c:numRef>
          </c:val>
        </c:ser>
        <c:axId val="180590080"/>
        <c:axId val="18059161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80590080"/>
        <c:axId val="180591616"/>
      </c:lineChart>
      <c:catAx>
        <c:axId val="180590080"/>
        <c:scaling>
          <c:orientation val="minMax"/>
        </c:scaling>
        <c:axPos val="b"/>
        <c:numFmt formatCode="General" sourceLinked="1"/>
        <c:tickLblPos val="nextTo"/>
        <c:txPr>
          <a:bodyPr/>
          <a:lstStyle/>
          <a:p>
            <a:pPr>
              <a:defRPr sz="800"/>
            </a:pPr>
            <a:endParaRPr lang="en-US"/>
          </a:p>
        </c:txPr>
        <c:crossAx val="180591616"/>
        <c:crosses val="autoZero"/>
        <c:auto val="1"/>
        <c:lblAlgn val="ctr"/>
        <c:lblOffset val="100"/>
      </c:catAx>
      <c:valAx>
        <c:axId val="180591616"/>
        <c:scaling>
          <c:orientation val="minMax"/>
        </c:scaling>
        <c:axPos val="l"/>
        <c:majorGridlines/>
        <c:title>
          <c:tx>
            <c:rich>
              <a:bodyPr rot="0" vert="horz"/>
              <a:lstStyle/>
              <a:p>
                <a:pPr>
                  <a:defRPr/>
                </a:pPr>
                <a:r>
                  <a:rPr lang="en-US"/>
                  <a:t>%</a:t>
                </a:r>
              </a:p>
            </c:rich>
          </c:tx>
          <c:layout/>
        </c:title>
        <c:numFmt formatCode="General" sourceLinked="1"/>
        <c:tickLblPos val="nextTo"/>
        <c:crossAx val="1805900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Tewkesbury</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16</c:v>
                </c:pt>
                <c:pt idx="2">
                  <c:v>16.739446870451236</c:v>
                </c:pt>
                <c:pt idx="3">
                  <c:v>16.905444126074499</c:v>
                </c:pt>
                <c:pt idx="4">
                  <c:v>17.211948790896159</c:v>
                </c:pt>
                <c:pt idx="5">
                  <c:v>17.510259917920656</c:v>
                </c:pt>
                <c:pt idx="6">
                  <c:v>17.391304347826086</c:v>
                </c:pt>
                <c:pt idx="7">
                  <c:v>18.656716417910449</c:v>
                </c:pt>
                <c:pt idx="8">
                  <c:v>18.840579710144926</c:v>
                </c:pt>
                <c:pt idx="9">
                  <c:v>18.727490996398558</c:v>
                </c:pt>
              </c:numCache>
            </c:numRef>
          </c:val>
        </c:ser>
        <c:axId val="180701056"/>
        <c:axId val="18070259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80701056"/>
        <c:axId val="180702592"/>
      </c:lineChart>
      <c:catAx>
        <c:axId val="180701056"/>
        <c:scaling>
          <c:orientation val="minMax"/>
        </c:scaling>
        <c:axPos val="b"/>
        <c:numFmt formatCode="General" sourceLinked="1"/>
        <c:tickLblPos val="nextTo"/>
        <c:txPr>
          <a:bodyPr/>
          <a:lstStyle/>
          <a:p>
            <a:pPr>
              <a:defRPr sz="800"/>
            </a:pPr>
            <a:endParaRPr lang="en-US"/>
          </a:p>
        </c:txPr>
        <c:crossAx val="180702592"/>
        <c:crosses val="autoZero"/>
        <c:auto val="1"/>
        <c:lblAlgn val="ctr"/>
        <c:lblOffset val="100"/>
      </c:catAx>
      <c:valAx>
        <c:axId val="180702592"/>
        <c:scaling>
          <c:orientation val="minMax"/>
        </c:scaling>
        <c:axPos val="l"/>
        <c:majorGridlines/>
        <c:title>
          <c:tx>
            <c:rich>
              <a:bodyPr rot="0" vert="horz"/>
              <a:lstStyle/>
              <a:p>
                <a:pPr>
                  <a:defRPr/>
                </a:pPr>
                <a:r>
                  <a:rPr lang="en-US"/>
                  <a:t>%</a:t>
                </a:r>
              </a:p>
            </c:rich>
          </c:tx>
          <c:layout/>
        </c:title>
        <c:numFmt formatCode="General" sourceLinked="1"/>
        <c:tickLblPos val="nextTo"/>
        <c:crossAx val="1807010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Tewkesbury</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6.8</c:v>
                </c:pt>
                <c:pt idx="1">
                  <c:v>5.4</c:v>
                </c:pt>
                <c:pt idx="2">
                  <c:v>6.7</c:v>
                </c:pt>
              </c:numCache>
            </c:numRef>
          </c:val>
        </c:ser>
        <c:axId val="180619904"/>
        <c:axId val="18062988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80619904"/>
        <c:axId val="180629888"/>
      </c:lineChart>
      <c:catAx>
        <c:axId val="180619904"/>
        <c:scaling>
          <c:orientation val="minMax"/>
        </c:scaling>
        <c:axPos val="b"/>
        <c:numFmt formatCode="General" sourceLinked="1"/>
        <c:tickLblPos val="nextTo"/>
        <c:txPr>
          <a:bodyPr/>
          <a:lstStyle/>
          <a:p>
            <a:pPr>
              <a:defRPr sz="800"/>
            </a:pPr>
            <a:endParaRPr lang="en-US"/>
          </a:p>
        </c:txPr>
        <c:crossAx val="180629888"/>
        <c:crosses val="autoZero"/>
        <c:auto val="1"/>
        <c:lblAlgn val="ctr"/>
        <c:lblOffset val="100"/>
      </c:catAx>
      <c:valAx>
        <c:axId val="180629888"/>
        <c:scaling>
          <c:orientation val="minMax"/>
        </c:scaling>
        <c:axPos val="l"/>
        <c:majorGridlines/>
        <c:title>
          <c:tx>
            <c:rich>
              <a:bodyPr rot="0" vert="horz"/>
              <a:lstStyle/>
              <a:p>
                <a:pPr>
                  <a:defRPr/>
                </a:pPr>
                <a:r>
                  <a:rPr lang="en-US"/>
                  <a:t>%</a:t>
                </a:r>
              </a:p>
            </c:rich>
          </c:tx>
          <c:layout/>
        </c:title>
        <c:numFmt formatCode="General" sourceLinked="1"/>
        <c:tickLblPos val="nextTo"/>
        <c:crossAx val="180619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Tewkesbury</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7.2592592592592595</c:v>
                </c:pt>
                <c:pt idx="2">
                  <c:v>6.9868995633187776</c:v>
                </c:pt>
                <c:pt idx="3">
                  <c:v>7.4498567335243555</c:v>
                </c:pt>
                <c:pt idx="4">
                  <c:v>7.1123755334281649</c:v>
                </c:pt>
                <c:pt idx="5">
                  <c:v>6.9767441860465116</c:v>
                </c:pt>
                <c:pt idx="6">
                  <c:v>7.9283887468030692</c:v>
                </c:pt>
                <c:pt idx="7">
                  <c:v>7.9601990049751246</c:v>
                </c:pt>
                <c:pt idx="8">
                  <c:v>7.9710144927536231</c:v>
                </c:pt>
                <c:pt idx="9">
                  <c:v>7.4429771908763502</c:v>
                </c:pt>
              </c:numCache>
            </c:numRef>
          </c:val>
        </c:ser>
        <c:axId val="180657152"/>
        <c:axId val="180667136"/>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80657152"/>
        <c:axId val="180667136"/>
      </c:lineChart>
      <c:catAx>
        <c:axId val="180657152"/>
        <c:scaling>
          <c:orientation val="minMax"/>
        </c:scaling>
        <c:axPos val="b"/>
        <c:numFmt formatCode="General" sourceLinked="1"/>
        <c:tickLblPos val="nextTo"/>
        <c:txPr>
          <a:bodyPr/>
          <a:lstStyle/>
          <a:p>
            <a:pPr>
              <a:defRPr sz="800"/>
            </a:pPr>
            <a:endParaRPr lang="en-US"/>
          </a:p>
        </c:txPr>
        <c:crossAx val="180667136"/>
        <c:crosses val="autoZero"/>
        <c:auto val="1"/>
        <c:lblAlgn val="ctr"/>
        <c:lblOffset val="100"/>
      </c:catAx>
      <c:valAx>
        <c:axId val="180667136"/>
        <c:scaling>
          <c:orientation val="minMax"/>
        </c:scaling>
        <c:axPos val="l"/>
        <c:majorGridlines/>
        <c:title>
          <c:tx>
            <c:rich>
              <a:bodyPr rot="0" vert="horz"/>
              <a:lstStyle/>
              <a:p>
                <a:pPr>
                  <a:defRPr/>
                </a:pPr>
                <a:r>
                  <a:rPr lang="en-US"/>
                  <a:t>%</a:t>
                </a:r>
              </a:p>
            </c:rich>
          </c:tx>
          <c:layout/>
        </c:title>
        <c:numFmt formatCode="General" sourceLinked="1"/>
        <c:tickLblPos val="nextTo"/>
        <c:crossAx val="180657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Tewkesbury</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2.8</c:v>
                </c:pt>
                <c:pt idx="1">
                  <c:v>2.7</c:v>
                </c:pt>
                <c:pt idx="2">
                  <c:v>2.8</c:v>
                </c:pt>
              </c:numCache>
            </c:numRef>
          </c:val>
        </c:ser>
        <c:axId val="180829568"/>
        <c:axId val="18086003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80829568"/>
        <c:axId val="180860032"/>
      </c:lineChart>
      <c:catAx>
        <c:axId val="180829568"/>
        <c:scaling>
          <c:orientation val="minMax"/>
        </c:scaling>
        <c:axPos val="b"/>
        <c:numFmt formatCode="General" sourceLinked="1"/>
        <c:tickLblPos val="nextTo"/>
        <c:txPr>
          <a:bodyPr/>
          <a:lstStyle/>
          <a:p>
            <a:pPr>
              <a:defRPr sz="800"/>
            </a:pPr>
            <a:endParaRPr lang="en-US"/>
          </a:p>
        </c:txPr>
        <c:crossAx val="180860032"/>
        <c:crosses val="autoZero"/>
        <c:auto val="1"/>
        <c:lblAlgn val="ctr"/>
        <c:lblOffset val="100"/>
      </c:catAx>
      <c:valAx>
        <c:axId val="180860032"/>
        <c:scaling>
          <c:orientation val="minMax"/>
        </c:scaling>
        <c:axPos val="l"/>
        <c:majorGridlines/>
        <c:title>
          <c:tx>
            <c:rich>
              <a:bodyPr rot="0" vert="horz"/>
              <a:lstStyle/>
              <a:p>
                <a:pPr>
                  <a:defRPr/>
                </a:pPr>
                <a:r>
                  <a:rPr lang="en-US"/>
                  <a:t>%</a:t>
                </a:r>
              </a:p>
            </c:rich>
          </c:tx>
          <c:layout/>
        </c:title>
        <c:numFmt formatCode="General" sourceLinked="1"/>
        <c:tickLblPos val="nextTo"/>
        <c:crossAx val="1808295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Tewkesbury</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0.44444444444444442</c:v>
                </c:pt>
                <c:pt idx="2">
                  <c:v>0.4366812227074236</c:v>
                </c:pt>
                <c:pt idx="3">
                  <c:v>0.42979942693409739</c:v>
                </c:pt>
                <c:pt idx="4">
                  <c:v>0.71123755334281646</c:v>
                </c:pt>
                <c:pt idx="5">
                  <c:v>0.82079343365253077</c:v>
                </c:pt>
                <c:pt idx="6">
                  <c:v>0.8951406649616368</c:v>
                </c:pt>
                <c:pt idx="7">
                  <c:v>0.74626865671641796</c:v>
                </c:pt>
                <c:pt idx="8">
                  <c:v>0.84541062801932365</c:v>
                </c:pt>
                <c:pt idx="9">
                  <c:v>0.84033613445378152</c:v>
                </c:pt>
              </c:numCache>
            </c:numRef>
          </c:val>
        </c:ser>
        <c:axId val="180891648"/>
        <c:axId val="18089318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80891648"/>
        <c:axId val="180893184"/>
      </c:lineChart>
      <c:catAx>
        <c:axId val="180891648"/>
        <c:scaling>
          <c:orientation val="minMax"/>
        </c:scaling>
        <c:axPos val="b"/>
        <c:numFmt formatCode="General" sourceLinked="1"/>
        <c:tickLblPos val="nextTo"/>
        <c:txPr>
          <a:bodyPr/>
          <a:lstStyle/>
          <a:p>
            <a:pPr>
              <a:defRPr sz="800"/>
            </a:pPr>
            <a:endParaRPr lang="en-US"/>
          </a:p>
        </c:txPr>
        <c:crossAx val="180893184"/>
        <c:crosses val="autoZero"/>
        <c:auto val="1"/>
        <c:lblAlgn val="ctr"/>
        <c:lblOffset val="100"/>
      </c:catAx>
      <c:valAx>
        <c:axId val="180893184"/>
        <c:scaling>
          <c:orientation val="minMax"/>
        </c:scaling>
        <c:axPos val="l"/>
        <c:majorGridlines/>
        <c:title>
          <c:tx>
            <c:rich>
              <a:bodyPr rot="0" vert="horz"/>
              <a:lstStyle/>
              <a:p>
                <a:pPr>
                  <a:defRPr/>
                </a:pPr>
                <a:r>
                  <a:rPr lang="en-US"/>
                  <a:t>%</a:t>
                </a:r>
              </a:p>
            </c:rich>
          </c:tx>
          <c:layout/>
        </c:title>
        <c:numFmt formatCode="General" sourceLinked="1"/>
        <c:tickLblPos val="nextTo"/>
        <c:crossAx val="1808916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Tewkesbury</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4.5</c:v>
                </c:pt>
                <c:pt idx="1">
                  <c:v>5.4</c:v>
                </c:pt>
                <c:pt idx="2">
                  <c:v>5.6</c:v>
                </c:pt>
              </c:numCache>
            </c:numRef>
          </c:val>
        </c:ser>
        <c:axId val="180920704"/>
        <c:axId val="180922240"/>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80920704"/>
        <c:axId val="180922240"/>
      </c:lineChart>
      <c:catAx>
        <c:axId val="180920704"/>
        <c:scaling>
          <c:orientation val="minMax"/>
        </c:scaling>
        <c:axPos val="b"/>
        <c:numFmt formatCode="General" sourceLinked="1"/>
        <c:tickLblPos val="nextTo"/>
        <c:txPr>
          <a:bodyPr/>
          <a:lstStyle/>
          <a:p>
            <a:pPr>
              <a:defRPr sz="800"/>
            </a:pPr>
            <a:endParaRPr lang="en-US"/>
          </a:p>
        </c:txPr>
        <c:crossAx val="180922240"/>
        <c:crosses val="autoZero"/>
        <c:auto val="1"/>
        <c:lblAlgn val="ctr"/>
        <c:lblOffset val="100"/>
      </c:catAx>
      <c:valAx>
        <c:axId val="180922240"/>
        <c:scaling>
          <c:orientation val="minMax"/>
        </c:scaling>
        <c:axPos val="l"/>
        <c:majorGridlines/>
        <c:title>
          <c:tx>
            <c:rich>
              <a:bodyPr rot="0" vert="horz"/>
              <a:lstStyle/>
              <a:p>
                <a:pPr>
                  <a:defRPr/>
                </a:pPr>
                <a:r>
                  <a:rPr lang="en-US"/>
                  <a:t>%</a:t>
                </a:r>
              </a:p>
            </c:rich>
          </c:tx>
          <c:layout/>
        </c:title>
        <c:numFmt formatCode="General" sourceLinked="1"/>
        <c:tickLblPos val="nextTo"/>
        <c:crossAx val="1809207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Tewkesbury</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1.4814814814814814</c:v>
                </c:pt>
                <c:pt idx="2">
                  <c:v>1.4556040756914119</c:v>
                </c:pt>
                <c:pt idx="3">
                  <c:v>1.5759312320916905</c:v>
                </c:pt>
                <c:pt idx="4">
                  <c:v>1.8492176386913228</c:v>
                </c:pt>
                <c:pt idx="5">
                  <c:v>2.0519835841313268</c:v>
                </c:pt>
                <c:pt idx="6">
                  <c:v>2.0460358056265986</c:v>
                </c:pt>
                <c:pt idx="7">
                  <c:v>1.8656716417910448</c:v>
                </c:pt>
                <c:pt idx="8">
                  <c:v>2.0531400966183573</c:v>
                </c:pt>
                <c:pt idx="9">
                  <c:v>1.9207683073229291</c:v>
                </c:pt>
              </c:numCache>
            </c:numRef>
          </c:val>
        </c:ser>
        <c:axId val="180978432"/>
        <c:axId val="18097996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80978432"/>
        <c:axId val="180979968"/>
      </c:lineChart>
      <c:catAx>
        <c:axId val="180978432"/>
        <c:scaling>
          <c:orientation val="minMax"/>
        </c:scaling>
        <c:axPos val="b"/>
        <c:numFmt formatCode="General" sourceLinked="1"/>
        <c:tickLblPos val="nextTo"/>
        <c:txPr>
          <a:bodyPr/>
          <a:lstStyle/>
          <a:p>
            <a:pPr>
              <a:defRPr sz="800"/>
            </a:pPr>
            <a:endParaRPr lang="en-US"/>
          </a:p>
        </c:txPr>
        <c:crossAx val="180979968"/>
        <c:crosses val="autoZero"/>
        <c:auto val="1"/>
        <c:lblAlgn val="ctr"/>
        <c:lblOffset val="100"/>
      </c:catAx>
      <c:valAx>
        <c:axId val="180979968"/>
        <c:scaling>
          <c:orientation val="minMax"/>
        </c:scaling>
        <c:axPos val="l"/>
        <c:majorGridlines/>
        <c:title>
          <c:tx>
            <c:rich>
              <a:bodyPr rot="0" vert="horz"/>
              <a:lstStyle/>
              <a:p>
                <a:pPr>
                  <a:defRPr/>
                </a:pPr>
                <a:r>
                  <a:rPr lang="en-US"/>
                  <a:t>%</a:t>
                </a:r>
              </a:p>
            </c:rich>
          </c:tx>
          <c:layout/>
        </c:title>
        <c:numFmt formatCode="General" sourceLinked="1"/>
        <c:tickLblPos val="nextTo"/>
        <c:crossAx val="1809784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Tewkesbury</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476.8</c:v>
                </c:pt>
                <c:pt idx="2">
                  <c:v>498.2</c:v>
                </c:pt>
                <c:pt idx="3">
                  <c:v>512.9</c:v>
                </c:pt>
                <c:pt idx="4">
                  <c:v>500.1</c:v>
                </c:pt>
                <c:pt idx="5">
                  <c:v>496.9</c:v>
                </c:pt>
                <c:pt idx="6">
                  <c:v>528</c:v>
                </c:pt>
                <c:pt idx="7">
                  <c:v>491.3</c:v>
                </c:pt>
                <c:pt idx="8">
                  <c:v>551.6</c:v>
                </c:pt>
                <c:pt idx="9">
                  <c:v>553.20000000000005</c:v>
                </c:pt>
                <c:pt idx="10">
                  <c:v>608.5</c:v>
                </c:pt>
                <c:pt idx="11">
                  <c:v>613.29999999999995</c:v>
                </c:pt>
              </c:numCache>
            </c:numRef>
          </c:val>
        </c:ser>
        <c:marker val="1"/>
        <c:axId val="138794496"/>
        <c:axId val="138796032"/>
      </c:lineChart>
      <c:catAx>
        <c:axId val="138794496"/>
        <c:scaling>
          <c:orientation val="minMax"/>
        </c:scaling>
        <c:axPos val="b"/>
        <c:numFmt formatCode="General" sourceLinked="1"/>
        <c:tickLblPos val="nextTo"/>
        <c:txPr>
          <a:bodyPr/>
          <a:lstStyle/>
          <a:p>
            <a:pPr>
              <a:defRPr sz="900"/>
            </a:pPr>
            <a:endParaRPr lang="en-US"/>
          </a:p>
        </c:txPr>
        <c:crossAx val="138796032"/>
        <c:crosses val="autoZero"/>
        <c:auto val="1"/>
        <c:lblAlgn val="ctr"/>
        <c:lblOffset val="100"/>
      </c:catAx>
      <c:valAx>
        <c:axId val="138796032"/>
        <c:scaling>
          <c:orientation val="minMax"/>
        </c:scaling>
        <c:axPos val="l"/>
        <c:majorGridlines/>
        <c:title>
          <c:tx>
            <c:rich>
              <a:bodyPr rot="0" vert="horz"/>
              <a:lstStyle/>
              <a:p>
                <a:pPr>
                  <a:defRPr/>
                </a:pPr>
                <a:r>
                  <a:rPr lang="en-US"/>
                  <a:t>£</a:t>
                </a:r>
              </a:p>
            </c:rich>
          </c:tx>
          <c:layout/>
        </c:title>
        <c:numFmt formatCode="General" sourceLinked="1"/>
        <c:tickLblPos val="nextTo"/>
        <c:crossAx val="1387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Tewkesbury</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10.199999999999999</c:v>
                </c:pt>
                <c:pt idx="1">
                  <c:v>10.9</c:v>
                </c:pt>
                <c:pt idx="2">
                  <c:v>10</c:v>
                </c:pt>
              </c:numCache>
            </c:numRef>
          </c:val>
        </c:ser>
        <c:axId val="181093504"/>
        <c:axId val="18109504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81093504"/>
        <c:axId val="181095040"/>
      </c:lineChart>
      <c:catAx>
        <c:axId val="181093504"/>
        <c:scaling>
          <c:orientation val="minMax"/>
        </c:scaling>
        <c:axPos val="b"/>
        <c:numFmt formatCode="General" sourceLinked="1"/>
        <c:tickLblPos val="nextTo"/>
        <c:txPr>
          <a:bodyPr/>
          <a:lstStyle/>
          <a:p>
            <a:pPr>
              <a:defRPr sz="800"/>
            </a:pPr>
            <a:endParaRPr lang="en-US"/>
          </a:p>
        </c:txPr>
        <c:crossAx val="181095040"/>
        <c:crosses val="autoZero"/>
        <c:auto val="1"/>
        <c:lblAlgn val="ctr"/>
        <c:lblOffset val="100"/>
      </c:catAx>
      <c:valAx>
        <c:axId val="181095040"/>
        <c:scaling>
          <c:orientation val="minMax"/>
        </c:scaling>
        <c:axPos val="l"/>
        <c:majorGridlines/>
        <c:title>
          <c:tx>
            <c:rich>
              <a:bodyPr rot="0" vert="horz"/>
              <a:lstStyle/>
              <a:p>
                <a:pPr>
                  <a:defRPr/>
                </a:pPr>
                <a:r>
                  <a:rPr lang="en-US"/>
                  <a:t>%</a:t>
                </a:r>
              </a:p>
            </c:rich>
          </c:tx>
          <c:layout/>
        </c:title>
        <c:numFmt formatCode="General" sourceLinked="1"/>
        <c:tickLblPos val="nextTo"/>
        <c:crossAx val="1810935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Tewkesbury</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2.8148148148148149</c:v>
                </c:pt>
                <c:pt idx="2">
                  <c:v>2.9112081513828238</c:v>
                </c:pt>
                <c:pt idx="3">
                  <c:v>3.0085959885386822</c:v>
                </c:pt>
                <c:pt idx="4">
                  <c:v>2.9871977240398291</c:v>
                </c:pt>
                <c:pt idx="5">
                  <c:v>3.0095759233926129</c:v>
                </c:pt>
                <c:pt idx="6">
                  <c:v>3.452685421994885</c:v>
                </c:pt>
                <c:pt idx="7">
                  <c:v>3.3582089552238807</c:v>
                </c:pt>
                <c:pt idx="8">
                  <c:v>3.3816425120772946</c:v>
                </c:pt>
                <c:pt idx="9">
                  <c:v>3.3613445378151261</c:v>
                </c:pt>
              </c:numCache>
            </c:numRef>
          </c:val>
        </c:ser>
        <c:axId val="181130368"/>
        <c:axId val="18113190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81130368"/>
        <c:axId val="181131904"/>
      </c:lineChart>
      <c:catAx>
        <c:axId val="181130368"/>
        <c:scaling>
          <c:orientation val="minMax"/>
        </c:scaling>
        <c:axPos val="b"/>
        <c:numFmt formatCode="General" sourceLinked="1"/>
        <c:tickLblPos val="nextTo"/>
        <c:txPr>
          <a:bodyPr/>
          <a:lstStyle/>
          <a:p>
            <a:pPr>
              <a:defRPr sz="800"/>
            </a:pPr>
            <a:endParaRPr lang="en-US"/>
          </a:p>
        </c:txPr>
        <c:crossAx val="181131904"/>
        <c:crosses val="autoZero"/>
        <c:auto val="1"/>
        <c:lblAlgn val="ctr"/>
        <c:lblOffset val="100"/>
      </c:catAx>
      <c:valAx>
        <c:axId val="181131904"/>
        <c:scaling>
          <c:orientation val="minMax"/>
        </c:scaling>
        <c:axPos val="l"/>
        <c:majorGridlines/>
        <c:title>
          <c:tx>
            <c:rich>
              <a:bodyPr rot="0" vert="horz"/>
              <a:lstStyle/>
              <a:p>
                <a:pPr>
                  <a:defRPr/>
                </a:pPr>
                <a:r>
                  <a:rPr lang="en-US"/>
                  <a:t>%</a:t>
                </a:r>
              </a:p>
            </c:rich>
          </c:tx>
          <c:layout/>
        </c:title>
        <c:numFmt formatCode="General" sourceLinked="1"/>
        <c:tickLblPos val="nextTo"/>
        <c:crossAx val="181130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Tewkesbury</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2.8</c:v>
                </c:pt>
                <c:pt idx="1">
                  <c:v>2.7</c:v>
                </c:pt>
                <c:pt idx="2">
                  <c:v>2.8</c:v>
                </c:pt>
              </c:numCache>
            </c:numRef>
          </c:val>
        </c:ser>
        <c:axId val="181044352"/>
        <c:axId val="18104588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81044352"/>
        <c:axId val="181045888"/>
      </c:lineChart>
      <c:catAx>
        <c:axId val="181044352"/>
        <c:scaling>
          <c:orientation val="minMax"/>
        </c:scaling>
        <c:axPos val="b"/>
        <c:numFmt formatCode="General" sourceLinked="1"/>
        <c:tickLblPos val="nextTo"/>
        <c:txPr>
          <a:bodyPr/>
          <a:lstStyle/>
          <a:p>
            <a:pPr>
              <a:defRPr sz="800"/>
            </a:pPr>
            <a:endParaRPr lang="en-US"/>
          </a:p>
        </c:txPr>
        <c:crossAx val="181045888"/>
        <c:crosses val="autoZero"/>
        <c:auto val="1"/>
        <c:lblAlgn val="ctr"/>
        <c:lblOffset val="100"/>
      </c:catAx>
      <c:valAx>
        <c:axId val="181045888"/>
        <c:scaling>
          <c:orientation val="minMax"/>
        </c:scaling>
        <c:axPos val="l"/>
        <c:majorGridlines/>
        <c:title>
          <c:tx>
            <c:rich>
              <a:bodyPr rot="0" vert="horz"/>
              <a:lstStyle/>
              <a:p>
                <a:pPr>
                  <a:defRPr/>
                </a:pPr>
                <a:r>
                  <a:rPr lang="en-US"/>
                  <a:t>%</a:t>
                </a:r>
              </a:p>
            </c:rich>
          </c:tx>
          <c:layout/>
        </c:title>
        <c:numFmt formatCode="General" sourceLinked="1"/>
        <c:tickLblPos val="nextTo"/>
        <c:crossAx val="181044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Tewkesbury</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5.6296296296296298</c:v>
                </c:pt>
                <c:pt idx="2">
                  <c:v>5.5312954876273652</c:v>
                </c:pt>
                <c:pt idx="3">
                  <c:v>5.4441260744985671</c:v>
                </c:pt>
                <c:pt idx="4">
                  <c:v>5.5476529160739689</c:v>
                </c:pt>
                <c:pt idx="5">
                  <c:v>6.0191518467852259</c:v>
                </c:pt>
                <c:pt idx="6">
                  <c:v>5.882352941176471</c:v>
                </c:pt>
                <c:pt idx="7">
                  <c:v>5.4726368159203984</c:v>
                </c:pt>
                <c:pt idx="8">
                  <c:v>5.1932367149758454</c:v>
                </c:pt>
                <c:pt idx="9">
                  <c:v>5.1620648259303721</c:v>
                </c:pt>
              </c:numCache>
            </c:numRef>
          </c:val>
        </c:ser>
        <c:axId val="181224960"/>
        <c:axId val="181226496"/>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81224960"/>
        <c:axId val="181226496"/>
      </c:lineChart>
      <c:catAx>
        <c:axId val="181224960"/>
        <c:scaling>
          <c:orientation val="minMax"/>
        </c:scaling>
        <c:axPos val="b"/>
        <c:numFmt formatCode="General" sourceLinked="1"/>
        <c:tickLblPos val="nextTo"/>
        <c:txPr>
          <a:bodyPr/>
          <a:lstStyle/>
          <a:p>
            <a:pPr>
              <a:defRPr sz="800"/>
            </a:pPr>
            <a:endParaRPr lang="en-US"/>
          </a:p>
        </c:txPr>
        <c:crossAx val="181226496"/>
        <c:crosses val="autoZero"/>
        <c:auto val="1"/>
        <c:lblAlgn val="ctr"/>
        <c:lblOffset val="100"/>
      </c:catAx>
      <c:valAx>
        <c:axId val="181226496"/>
        <c:scaling>
          <c:orientation val="minMax"/>
        </c:scaling>
        <c:axPos val="l"/>
        <c:majorGridlines/>
        <c:title>
          <c:tx>
            <c:rich>
              <a:bodyPr rot="0" vert="horz"/>
              <a:lstStyle/>
              <a:p>
                <a:pPr>
                  <a:defRPr/>
                </a:pPr>
                <a:r>
                  <a:rPr lang="en-US"/>
                  <a:t>%</a:t>
                </a:r>
              </a:p>
            </c:rich>
          </c:tx>
          <c:layout/>
        </c:title>
        <c:numFmt formatCode="General" sourceLinked="1"/>
        <c:tickLblPos val="nextTo"/>
        <c:crossAx val="181224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Tewkesbury</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76.588461974385126</c:v>
                </c:pt>
                <c:pt idx="1">
                  <c:v>75.654256477247984</c:v>
                </c:pt>
                <c:pt idx="2">
                  <c:v>74.302674552034603</c:v>
                </c:pt>
              </c:numCache>
            </c:numRef>
          </c:val>
        </c:ser>
        <c:marker val="1"/>
        <c:axId val="181351936"/>
        <c:axId val="181353472"/>
      </c:lineChart>
      <c:catAx>
        <c:axId val="181351936"/>
        <c:scaling>
          <c:orientation val="minMax"/>
        </c:scaling>
        <c:axPos val="b"/>
        <c:numFmt formatCode="General" sourceLinked="1"/>
        <c:tickLblPos val="nextTo"/>
        <c:txPr>
          <a:bodyPr/>
          <a:lstStyle/>
          <a:p>
            <a:pPr>
              <a:defRPr sz="800"/>
            </a:pPr>
            <a:endParaRPr lang="en-US"/>
          </a:p>
        </c:txPr>
        <c:crossAx val="181353472"/>
        <c:crosses val="autoZero"/>
        <c:auto val="1"/>
        <c:lblAlgn val="ctr"/>
        <c:lblOffset val="100"/>
      </c:catAx>
      <c:valAx>
        <c:axId val="181353472"/>
        <c:scaling>
          <c:orientation val="minMax"/>
        </c:scaling>
        <c:axPos val="l"/>
        <c:majorGridlines/>
        <c:title>
          <c:tx>
            <c:rich>
              <a:bodyPr rot="0" vert="horz"/>
              <a:lstStyle/>
              <a:p>
                <a:pPr>
                  <a:defRPr/>
                </a:pPr>
                <a:r>
                  <a:rPr lang="en-US"/>
                  <a:t>%</a:t>
                </a:r>
              </a:p>
            </c:rich>
          </c:tx>
          <c:layout/>
        </c:title>
        <c:numFmt formatCode="0.00" sourceLinked="1"/>
        <c:tickLblPos val="nextTo"/>
        <c:crossAx val="18135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Tewkesbury</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23.413804828289699</c:v>
                </c:pt>
                <c:pt idx="1">
                  <c:v>24.345743522752013</c:v>
                </c:pt>
                <c:pt idx="2">
                  <c:v>25.697325447965397</c:v>
                </c:pt>
              </c:numCache>
            </c:numRef>
          </c:val>
        </c:ser>
        <c:marker val="1"/>
        <c:axId val="181388800"/>
        <c:axId val="181390336"/>
      </c:lineChart>
      <c:catAx>
        <c:axId val="181388800"/>
        <c:scaling>
          <c:orientation val="minMax"/>
        </c:scaling>
        <c:axPos val="b"/>
        <c:numFmt formatCode="General" sourceLinked="1"/>
        <c:tickLblPos val="nextTo"/>
        <c:txPr>
          <a:bodyPr/>
          <a:lstStyle/>
          <a:p>
            <a:pPr>
              <a:defRPr sz="800"/>
            </a:pPr>
            <a:endParaRPr lang="en-US"/>
          </a:p>
        </c:txPr>
        <c:crossAx val="181390336"/>
        <c:crosses val="autoZero"/>
        <c:auto val="1"/>
        <c:lblAlgn val="ctr"/>
        <c:lblOffset val="100"/>
      </c:catAx>
      <c:valAx>
        <c:axId val="181390336"/>
        <c:scaling>
          <c:orientation val="minMax"/>
        </c:scaling>
        <c:axPos val="l"/>
        <c:majorGridlines/>
        <c:title>
          <c:tx>
            <c:rich>
              <a:bodyPr rot="0" vert="horz"/>
              <a:lstStyle/>
              <a:p>
                <a:pPr>
                  <a:defRPr/>
                </a:pPr>
                <a:r>
                  <a:rPr lang="en-US"/>
                  <a:t>%</a:t>
                </a:r>
              </a:p>
            </c:rich>
          </c:tx>
          <c:layout/>
        </c:title>
        <c:numFmt formatCode="General" sourceLinked="1"/>
        <c:tickLblPos val="nextTo"/>
        <c:crossAx val="1813888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Tewkesbury</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10.146208772526352</c:v>
                </c:pt>
                <c:pt idx="1">
                  <c:v>9.7909862834748527</c:v>
                </c:pt>
                <c:pt idx="2">
                  <c:v>10.342925236119692</c:v>
                </c:pt>
              </c:numCache>
            </c:numRef>
          </c:val>
        </c:ser>
        <c:marker val="1"/>
        <c:axId val="181310976"/>
        <c:axId val="181312512"/>
      </c:lineChart>
      <c:catAx>
        <c:axId val="181310976"/>
        <c:scaling>
          <c:orientation val="minMax"/>
        </c:scaling>
        <c:axPos val="b"/>
        <c:numFmt formatCode="General" sourceLinked="1"/>
        <c:tickLblPos val="nextTo"/>
        <c:crossAx val="181312512"/>
        <c:crosses val="autoZero"/>
        <c:auto val="1"/>
        <c:lblAlgn val="ctr"/>
        <c:lblOffset val="100"/>
      </c:catAx>
      <c:valAx>
        <c:axId val="181312512"/>
        <c:scaling>
          <c:orientation val="minMax"/>
        </c:scaling>
        <c:axPos val="l"/>
        <c:majorGridlines/>
        <c:title>
          <c:tx>
            <c:rich>
              <a:bodyPr rot="0" vert="horz"/>
              <a:lstStyle/>
              <a:p>
                <a:pPr>
                  <a:defRPr/>
                </a:pPr>
                <a:r>
                  <a:rPr lang="en-US"/>
                  <a:t>%</a:t>
                </a:r>
              </a:p>
            </c:rich>
          </c:tx>
          <c:layout/>
        </c:title>
        <c:numFmt formatCode="General" sourceLinked="1"/>
        <c:tickLblPos val="nextTo"/>
        <c:crossAx val="181310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Tewkesbury</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60.277033065236822</c:v>
                </c:pt>
                <c:pt idx="1">
                  <c:v>57.327106960195685</c:v>
                </c:pt>
                <c:pt idx="2">
                  <c:v>58.950288030723279</c:v>
                </c:pt>
              </c:numCache>
            </c:numRef>
          </c:val>
        </c:ser>
        <c:marker val="1"/>
        <c:axId val="181491200"/>
        <c:axId val="181492736"/>
      </c:lineChart>
      <c:catAx>
        <c:axId val="181491200"/>
        <c:scaling>
          <c:orientation val="minMax"/>
        </c:scaling>
        <c:axPos val="b"/>
        <c:numFmt formatCode="General" sourceLinked="1"/>
        <c:tickLblPos val="nextTo"/>
        <c:txPr>
          <a:bodyPr/>
          <a:lstStyle/>
          <a:p>
            <a:pPr>
              <a:defRPr sz="800"/>
            </a:pPr>
            <a:endParaRPr lang="en-US"/>
          </a:p>
        </c:txPr>
        <c:crossAx val="181492736"/>
        <c:crosses val="autoZero"/>
        <c:auto val="1"/>
        <c:lblAlgn val="ctr"/>
        <c:lblOffset val="100"/>
      </c:catAx>
      <c:valAx>
        <c:axId val="181492736"/>
        <c:scaling>
          <c:orientation val="minMax"/>
        </c:scaling>
        <c:axPos val="l"/>
        <c:majorGridlines/>
        <c:title>
          <c:tx>
            <c:rich>
              <a:bodyPr rot="0" vert="horz"/>
              <a:lstStyle/>
              <a:p>
                <a:pPr>
                  <a:defRPr/>
                </a:pPr>
                <a:r>
                  <a:rPr lang="en-US"/>
                  <a:t>%</a:t>
                </a:r>
              </a:p>
            </c:rich>
          </c:tx>
          <c:layout/>
        </c:title>
        <c:numFmt formatCode="General" sourceLinked="1"/>
        <c:tickLblPos val="nextTo"/>
        <c:crossAx val="1814912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Tewkesbury</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39.722966934763178</c:v>
                </c:pt>
                <c:pt idx="1">
                  <c:v>42.672893039804315</c:v>
                </c:pt>
                <c:pt idx="2">
                  <c:v>41.028376360145081</c:v>
                </c:pt>
              </c:numCache>
            </c:numRef>
          </c:val>
        </c:ser>
        <c:marker val="1"/>
        <c:axId val="181532160"/>
        <c:axId val="181533696"/>
      </c:lineChart>
      <c:catAx>
        <c:axId val="181532160"/>
        <c:scaling>
          <c:orientation val="minMax"/>
        </c:scaling>
        <c:axPos val="b"/>
        <c:numFmt formatCode="General" sourceLinked="1"/>
        <c:tickLblPos val="nextTo"/>
        <c:txPr>
          <a:bodyPr/>
          <a:lstStyle/>
          <a:p>
            <a:pPr>
              <a:defRPr sz="800"/>
            </a:pPr>
            <a:endParaRPr lang="en-US"/>
          </a:p>
        </c:txPr>
        <c:crossAx val="181533696"/>
        <c:crosses val="autoZero"/>
        <c:auto val="1"/>
        <c:lblAlgn val="ctr"/>
        <c:lblOffset val="100"/>
      </c:catAx>
      <c:valAx>
        <c:axId val="181533696"/>
        <c:scaling>
          <c:orientation val="minMax"/>
        </c:scaling>
        <c:axPos val="l"/>
        <c:majorGridlines/>
        <c:title>
          <c:tx>
            <c:rich>
              <a:bodyPr rot="0" vert="horz"/>
              <a:lstStyle/>
              <a:p>
                <a:pPr>
                  <a:defRPr/>
                </a:pPr>
                <a:r>
                  <a:rPr lang="en-US"/>
                  <a:t>%</a:t>
                </a:r>
              </a:p>
            </c:rich>
          </c:tx>
          <c:layout/>
        </c:title>
        <c:numFmt formatCode="General" sourceLinked="1"/>
        <c:tickLblPos val="nextTo"/>
        <c:crossAx val="18153216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Tewkesbury</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89.85379122747365</c:v>
                </c:pt>
                <c:pt idx="1">
                  <c:v>90.209013716525149</c:v>
                </c:pt>
                <c:pt idx="2">
                  <c:v>89.657074763880303</c:v>
                </c:pt>
              </c:numCache>
            </c:numRef>
          </c:val>
        </c:ser>
        <c:marker val="1"/>
        <c:axId val="181442048"/>
        <c:axId val="181443584"/>
      </c:lineChart>
      <c:catAx>
        <c:axId val="181442048"/>
        <c:scaling>
          <c:orientation val="minMax"/>
        </c:scaling>
        <c:axPos val="b"/>
        <c:numFmt formatCode="General" sourceLinked="1"/>
        <c:tickLblPos val="nextTo"/>
        <c:crossAx val="181443584"/>
        <c:crosses val="autoZero"/>
        <c:auto val="1"/>
        <c:lblAlgn val="ctr"/>
        <c:lblOffset val="100"/>
      </c:catAx>
      <c:valAx>
        <c:axId val="181443584"/>
        <c:scaling>
          <c:orientation val="minMax"/>
        </c:scaling>
        <c:axPos val="l"/>
        <c:majorGridlines/>
        <c:title>
          <c:tx>
            <c:rich>
              <a:bodyPr rot="0" vert="horz"/>
              <a:lstStyle/>
              <a:p>
                <a:pPr>
                  <a:defRPr/>
                </a:pPr>
                <a:r>
                  <a:rPr lang="en-US"/>
                  <a:t>%</a:t>
                </a:r>
              </a:p>
            </c:rich>
          </c:tx>
          <c:layout/>
        </c:title>
        <c:numFmt formatCode="General" sourceLinked="1"/>
        <c:tickLblPos val="nextTo"/>
        <c:crossAx val="181442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0.9</c:v>
                </c:pt>
                <c:pt idx="1">
                  <c:v>1.2</c:v>
                </c:pt>
                <c:pt idx="2">
                  <c:v>26.5</c:v>
                </c:pt>
                <c:pt idx="3">
                  <c:v>8.8000000000000007</c:v>
                </c:pt>
                <c:pt idx="4">
                  <c:v>2.4</c:v>
                </c:pt>
                <c:pt idx="5">
                  <c:v>5.0999999999999996</c:v>
                </c:pt>
                <c:pt idx="6">
                  <c:v>3.7</c:v>
                </c:pt>
                <c:pt idx="7">
                  <c:v>6.6</c:v>
                </c:pt>
                <c:pt idx="8">
                  <c:v>2.9</c:v>
                </c:pt>
                <c:pt idx="9">
                  <c:v>3.7</c:v>
                </c:pt>
                <c:pt idx="10">
                  <c:v>6.6</c:v>
                </c:pt>
                <c:pt idx="11">
                  <c:v>1</c:v>
                </c:pt>
                <c:pt idx="12">
                  <c:v>8.8000000000000007</c:v>
                </c:pt>
                <c:pt idx="13">
                  <c:v>7.4</c:v>
                </c:pt>
                <c:pt idx="14">
                  <c:v>2.9</c:v>
                </c:pt>
                <c:pt idx="15">
                  <c:v>2.4</c:v>
                </c:pt>
                <c:pt idx="16">
                  <c:v>7.4</c:v>
                </c:pt>
                <c:pt idx="17">
                  <c:v>1.8</c:v>
                </c:pt>
              </c:numCache>
            </c:numRef>
          </c:val>
        </c:ser>
        <c:ser>
          <c:idx val="7"/>
          <c:order val="1"/>
          <c:tx>
            <c:strRef>
              <c:f>'front page'!$AM$19</c:f>
              <c:strCache>
                <c:ptCount val="1"/>
                <c:pt idx="0">
                  <c:v>2016</c:v>
                </c:pt>
              </c:strCache>
            </c:strRef>
          </c:tx>
          <c:val>
            <c:numRef>
              <c:f>'front page'!$AM$20:$AM$37</c:f>
              <c:numCache>
                <c:formatCode>General</c:formatCode>
                <c:ptCount val="18"/>
                <c:pt idx="0">
                  <c:v>0.7</c:v>
                </c:pt>
                <c:pt idx="1">
                  <c:v>1.4</c:v>
                </c:pt>
                <c:pt idx="2">
                  <c:v>25.7</c:v>
                </c:pt>
                <c:pt idx="3">
                  <c:v>7.1</c:v>
                </c:pt>
                <c:pt idx="4">
                  <c:v>2.6</c:v>
                </c:pt>
                <c:pt idx="5">
                  <c:v>5</c:v>
                </c:pt>
                <c:pt idx="6">
                  <c:v>3.6</c:v>
                </c:pt>
                <c:pt idx="7">
                  <c:v>4.3</c:v>
                </c:pt>
                <c:pt idx="8">
                  <c:v>3.6</c:v>
                </c:pt>
                <c:pt idx="9">
                  <c:v>4.3</c:v>
                </c:pt>
                <c:pt idx="10">
                  <c:v>7.1</c:v>
                </c:pt>
                <c:pt idx="11">
                  <c:v>1</c:v>
                </c:pt>
                <c:pt idx="12">
                  <c:v>10</c:v>
                </c:pt>
                <c:pt idx="13">
                  <c:v>5.7</c:v>
                </c:pt>
                <c:pt idx="14">
                  <c:v>2.9</c:v>
                </c:pt>
                <c:pt idx="15">
                  <c:v>2.9</c:v>
                </c:pt>
                <c:pt idx="16">
                  <c:v>8.6</c:v>
                </c:pt>
                <c:pt idx="17">
                  <c:v>1.7</c:v>
                </c:pt>
              </c:numCache>
            </c:numRef>
          </c:val>
        </c:ser>
        <c:ser>
          <c:idx val="0"/>
          <c:order val="2"/>
          <c:tx>
            <c:strRef>
              <c:f>'front page'!$AN$19</c:f>
              <c:strCache>
                <c:ptCount val="1"/>
                <c:pt idx="0">
                  <c:v>2017</c:v>
                </c:pt>
              </c:strCache>
            </c:strRef>
          </c:tx>
          <c:val>
            <c:numRef>
              <c:f>'front page'!$AN$20:$AN$37</c:f>
              <c:numCache>
                <c:formatCode>General</c:formatCode>
                <c:ptCount val="18"/>
                <c:pt idx="0">
                  <c:v>0.7</c:v>
                </c:pt>
                <c:pt idx="1">
                  <c:v>1.5</c:v>
                </c:pt>
                <c:pt idx="2">
                  <c:v>26.5</c:v>
                </c:pt>
                <c:pt idx="3">
                  <c:v>8.8000000000000007</c:v>
                </c:pt>
                <c:pt idx="4">
                  <c:v>2.1</c:v>
                </c:pt>
                <c:pt idx="5">
                  <c:v>5.9</c:v>
                </c:pt>
                <c:pt idx="6">
                  <c:v>3.7</c:v>
                </c:pt>
                <c:pt idx="7">
                  <c:v>5.0999999999999996</c:v>
                </c:pt>
                <c:pt idx="8">
                  <c:v>3.7</c:v>
                </c:pt>
                <c:pt idx="9">
                  <c:v>4.4000000000000004</c:v>
                </c:pt>
                <c:pt idx="10">
                  <c:v>5.0999999999999996</c:v>
                </c:pt>
                <c:pt idx="11">
                  <c:v>1</c:v>
                </c:pt>
                <c:pt idx="12">
                  <c:v>10.3</c:v>
                </c:pt>
                <c:pt idx="13">
                  <c:v>6.6</c:v>
                </c:pt>
                <c:pt idx="14">
                  <c:v>2.9</c:v>
                </c:pt>
                <c:pt idx="15">
                  <c:v>2.9</c:v>
                </c:pt>
                <c:pt idx="16">
                  <c:v>7.4</c:v>
                </c:pt>
                <c:pt idx="17">
                  <c:v>1.8</c:v>
                </c:pt>
              </c:numCache>
            </c:numRef>
          </c:val>
        </c:ser>
        <c:axId val="179196672"/>
        <c:axId val="179198208"/>
      </c:barChart>
      <c:catAx>
        <c:axId val="179196672"/>
        <c:scaling>
          <c:orientation val="minMax"/>
        </c:scaling>
        <c:axPos val="b"/>
        <c:numFmt formatCode="General" sourceLinked="1"/>
        <c:tickLblPos val="nextTo"/>
        <c:txPr>
          <a:bodyPr/>
          <a:lstStyle/>
          <a:p>
            <a:pPr>
              <a:defRPr sz="900"/>
            </a:pPr>
            <a:endParaRPr lang="en-US"/>
          </a:p>
        </c:txPr>
        <c:crossAx val="179198208"/>
        <c:crosses val="autoZero"/>
        <c:auto val="1"/>
        <c:lblAlgn val="ctr"/>
        <c:lblOffset val="100"/>
      </c:catAx>
      <c:valAx>
        <c:axId val="179198208"/>
        <c:scaling>
          <c:orientation val="minMax"/>
        </c:scaling>
        <c:axPos val="l"/>
        <c:majorGridlines/>
        <c:title>
          <c:tx>
            <c:rich>
              <a:bodyPr rot="0" vert="horz"/>
              <a:lstStyle/>
              <a:p>
                <a:pPr>
                  <a:defRPr/>
                </a:pPr>
                <a:r>
                  <a:rPr lang="en-US"/>
                  <a:t>%</a:t>
                </a:r>
              </a:p>
            </c:rich>
          </c:tx>
          <c:layout/>
        </c:title>
        <c:numFmt formatCode="General" sourceLinked="1"/>
        <c:tickLblPos val="nextTo"/>
        <c:crossAx val="179196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Tewkesbury</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78.427810994222867</c:v>
                </c:pt>
                <c:pt idx="1">
                  <c:v>77.64342432360678</c:v>
                </c:pt>
                <c:pt idx="2">
                  <c:v>76.071279135592803</c:v>
                </c:pt>
              </c:numCache>
            </c:numRef>
          </c:val>
        </c:ser>
        <c:marker val="1"/>
        <c:axId val="181548544"/>
        <c:axId val="181550080"/>
      </c:lineChart>
      <c:catAx>
        <c:axId val="181548544"/>
        <c:scaling>
          <c:orientation val="minMax"/>
        </c:scaling>
        <c:axPos val="b"/>
        <c:numFmt formatCode="General" sourceLinked="1"/>
        <c:tickLblPos val="nextTo"/>
        <c:txPr>
          <a:bodyPr/>
          <a:lstStyle/>
          <a:p>
            <a:pPr>
              <a:defRPr sz="800"/>
            </a:pPr>
            <a:endParaRPr lang="en-US"/>
          </a:p>
        </c:txPr>
        <c:crossAx val="181550080"/>
        <c:crosses val="autoZero"/>
        <c:auto val="1"/>
        <c:lblAlgn val="ctr"/>
        <c:lblOffset val="100"/>
      </c:catAx>
      <c:valAx>
        <c:axId val="181550080"/>
        <c:scaling>
          <c:orientation val="minMax"/>
        </c:scaling>
        <c:axPos val="l"/>
        <c:majorGridlines/>
        <c:title>
          <c:tx>
            <c:rich>
              <a:bodyPr rot="0" vert="horz"/>
              <a:lstStyle/>
              <a:p>
                <a:pPr>
                  <a:defRPr/>
                </a:pPr>
                <a:r>
                  <a:rPr lang="en-US"/>
                  <a:t>%</a:t>
                </a:r>
              </a:p>
            </c:rich>
          </c:tx>
          <c:layout/>
        </c:title>
        <c:numFmt formatCode="General" sourceLinked="1"/>
        <c:tickLblPos val="nextTo"/>
        <c:crossAx val="1815485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Tewkesbury</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21.56966623779611</c:v>
                </c:pt>
                <c:pt idx="1">
                  <c:v>22.356575676393213</c:v>
                </c:pt>
                <c:pt idx="2">
                  <c:v>23.928720864407197</c:v>
                </c:pt>
              </c:numCache>
            </c:numRef>
          </c:val>
        </c:ser>
        <c:marker val="1"/>
        <c:axId val="181601792"/>
        <c:axId val="181603328"/>
      </c:lineChart>
      <c:catAx>
        <c:axId val="181601792"/>
        <c:scaling>
          <c:orientation val="minMax"/>
        </c:scaling>
        <c:axPos val="b"/>
        <c:numFmt formatCode="General" sourceLinked="1"/>
        <c:tickLblPos val="nextTo"/>
        <c:txPr>
          <a:bodyPr/>
          <a:lstStyle/>
          <a:p>
            <a:pPr>
              <a:defRPr sz="800"/>
            </a:pPr>
            <a:endParaRPr lang="en-US"/>
          </a:p>
        </c:txPr>
        <c:crossAx val="181603328"/>
        <c:crosses val="autoZero"/>
        <c:auto val="1"/>
        <c:lblAlgn val="ctr"/>
        <c:lblOffset val="100"/>
      </c:catAx>
      <c:valAx>
        <c:axId val="181603328"/>
        <c:scaling>
          <c:orientation val="minMax"/>
        </c:scaling>
        <c:axPos val="l"/>
        <c:majorGridlines/>
        <c:title>
          <c:tx>
            <c:rich>
              <a:bodyPr rot="0" vert="horz"/>
              <a:lstStyle/>
              <a:p>
                <a:pPr>
                  <a:defRPr/>
                </a:pPr>
                <a:r>
                  <a:rPr lang="en-US"/>
                  <a:t>%</a:t>
                </a:r>
              </a:p>
            </c:rich>
          </c:tx>
          <c:layout/>
        </c:title>
        <c:numFmt formatCode="General" sourceLinked="1"/>
        <c:tickLblPos val="nextTo"/>
        <c:crossAx val="18160179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Tewkesbury</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0.88</c:v>
                </c:pt>
                <c:pt idx="2">
                  <c:v>0.95</c:v>
                </c:pt>
                <c:pt idx="3">
                  <c:v>0.95</c:v>
                </c:pt>
                <c:pt idx="4">
                  <c:v>0.97</c:v>
                </c:pt>
              </c:numCache>
            </c:numRef>
          </c:val>
        </c:ser>
        <c:axId val="181647232"/>
        <c:axId val="18164876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81647232"/>
        <c:axId val="181648768"/>
      </c:lineChart>
      <c:catAx>
        <c:axId val="181647232"/>
        <c:scaling>
          <c:orientation val="minMax"/>
        </c:scaling>
        <c:axPos val="b"/>
        <c:numFmt formatCode="General" sourceLinked="1"/>
        <c:tickLblPos val="nextTo"/>
        <c:crossAx val="181648768"/>
        <c:crosses val="autoZero"/>
        <c:auto val="1"/>
        <c:lblAlgn val="ctr"/>
        <c:lblOffset val="100"/>
      </c:catAx>
      <c:valAx>
        <c:axId val="18164876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816472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Tewkesbury</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19.7</c:v>
                </c:pt>
                <c:pt idx="2">
                  <c:v>18</c:v>
                </c:pt>
                <c:pt idx="3">
                  <c:v>19.3</c:v>
                </c:pt>
                <c:pt idx="4">
                  <c:v>17.5</c:v>
                </c:pt>
                <c:pt idx="5">
                  <c:v>17.399999999999999</c:v>
                </c:pt>
                <c:pt idx="6">
                  <c:v>16</c:v>
                </c:pt>
                <c:pt idx="7">
                  <c:v>18</c:v>
                </c:pt>
                <c:pt idx="8">
                  <c:v>17.399999999999999</c:v>
                </c:pt>
                <c:pt idx="9">
                  <c:v>17.600000000000001</c:v>
                </c:pt>
                <c:pt idx="10">
                  <c:v>18.7</c:v>
                </c:pt>
                <c:pt idx="11">
                  <c:v>19.7</c:v>
                </c:pt>
                <c:pt idx="12">
                  <c:v>18.399999999999999</c:v>
                </c:pt>
                <c:pt idx="13">
                  <c:v>14.6</c:v>
                </c:pt>
                <c:pt idx="14">
                  <c:v>14.5</c:v>
                </c:pt>
                <c:pt idx="15">
                  <c:v>12.4</c:v>
                </c:pt>
                <c:pt idx="16">
                  <c:v>12.8</c:v>
                </c:pt>
                <c:pt idx="17">
                  <c:v>12.3</c:v>
                </c:pt>
                <c:pt idx="18">
                  <c:v>11.4</c:v>
                </c:pt>
                <c:pt idx="19">
                  <c:v>11.4</c:v>
                </c:pt>
                <c:pt idx="20">
                  <c:v>12.5</c:v>
                </c:pt>
                <c:pt idx="21">
                  <c:v>16.399999999999999</c:v>
                </c:pt>
                <c:pt idx="22">
                  <c:v>17.7</c:v>
                </c:pt>
                <c:pt idx="23">
                  <c:v>19.5</c:v>
                </c:pt>
                <c:pt idx="24">
                  <c:v>23.6</c:v>
                </c:pt>
                <c:pt idx="25">
                  <c:v>21.5</c:v>
                </c:pt>
                <c:pt idx="26">
                  <c:v>22.3</c:v>
                </c:pt>
                <c:pt idx="27">
                  <c:v>18.3</c:v>
                </c:pt>
                <c:pt idx="28">
                  <c:v>13.2</c:v>
                </c:pt>
                <c:pt idx="29">
                  <c:v>13.6</c:v>
                </c:pt>
              </c:numCache>
            </c:numRef>
          </c:val>
        </c:ser>
        <c:axId val="181709440"/>
        <c:axId val="181727616"/>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81709440"/>
        <c:axId val="181727616"/>
      </c:lineChart>
      <c:catAx>
        <c:axId val="181709440"/>
        <c:scaling>
          <c:orientation val="minMax"/>
        </c:scaling>
        <c:axPos val="b"/>
        <c:tickLblPos val="nextTo"/>
        <c:txPr>
          <a:bodyPr/>
          <a:lstStyle/>
          <a:p>
            <a:pPr>
              <a:defRPr sz="1000"/>
            </a:pPr>
            <a:endParaRPr lang="en-US"/>
          </a:p>
        </c:txPr>
        <c:crossAx val="181727616"/>
        <c:crosses val="autoZero"/>
        <c:auto val="1"/>
        <c:lblAlgn val="ctr"/>
        <c:lblOffset val="100"/>
      </c:catAx>
      <c:valAx>
        <c:axId val="181727616"/>
        <c:scaling>
          <c:orientation val="minMax"/>
        </c:scaling>
        <c:axPos val="l"/>
        <c:majorGridlines/>
        <c:title>
          <c:tx>
            <c:rich>
              <a:bodyPr rot="0" vert="horz"/>
              <a:lstStyle/>
              <a:p>
                <a:pPr>
                  <a:defRPr/>
                </a:pPr>
                <a:r>
                  <a:rPr lang="en-US"/>
                  <a:t>%</a:t>
                </a:r>
              </a:p>
            </c:rich>
          </c:tx>
          <c:layout/>
        </c:title>
        <c:numFmt formatCode="General" sourceLinked="1"/>
        <c:tickLblPos val="nextTo"/>
        <c:crossAx val="18170944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Tewkesbury</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83.5</c:v>
                </c:pt>
                <c:pt idx="2">
                  <c:v>87.1</c:v>
                </c:pt>
                <c:pt idx="3">
                  <c:v>88.3</c:v>
                </c:pt>
                <c:pt idx="4">
                  <c:v>81.400000000000006</c:v>
                </c:pt>
                <c:pt idx="5">
                  <c:v>81.599999999999994</c:v>
                </c:pt>
                <c:pt idx="6">
                  <c:v>79.900000000000006</c:v>
                </c:pt>
                <c:pt idx="7">
                  <c:v>73.2</c:v>
                </c:pt>
                <c:pt idx="8">
                  <c:v>74.599999999999994</c:v>
                </c:pt>
                <c:pt idx="9">
                  <c:v>68.7</c:v>
                </c:pt>
                <c:pt idx="10">
                  <c:v>71.5</c:v>
                </c:pt>
                <c:pt idx="11">
                  <c:v>73.599999999999994</c:v>
                </c:pt>
                <c:pt idx="12">
                  <c:v>66.400000000000006</c:v>
                </c:pt>
                <c:pt idx="13">
                  <c:v>54</c:v>
                </c:pt>
                <c:pt idx="14">
                  <c:v>55.1</c:v>
                </c:pt>
                <c:pt idx="15">
                  <c:v>58.8</c:v>
                </c:pt>
                <c:pt idx="16">
                  <c:v>71.3</c:v>
                </c:pt>
                <c:pt idx="17">
                  <c:v>79.5</c:v>
                </c:pt>
                <c:pt idx="18">
                  <c:v>82.6</c:v>
                </c:pt>
                <c:pt idx="19">
                  <c:v>83.9</c:v>
                </c:pt>
                <c:pt idx="20">
                  <c:v>74.3</c:v>
                </c:pt>
                <c:pt idx="21">
                  <c:v>71.400000000000006</c:v>
                </c:pt>
                <c:pt idx="22">
                  <c:v>76.099999999999994</c:v>
                </c:pt>
                <c:pt idx="23">
                  <c:v>81.2</c:v>
                </c:pt>
                <c:pt idx="24">
                  <c:v>75.5</c:v>
                </c:pt>
                <c:pt idx="25">
                  <c:v>72.8</c:v>
                </c:pt>
                <c:pt idx="26">
                  <c:v>68.8</c:v>
                </c:pt>
                <c:pt idx="27">
                  <c:v>61.5</c:v>
                </c:pt>
                <c:pt idx="28">
                  <c:v>68.099999999999994</c:v>
                </c:pt>
                <c:pt idx="29">
                  <c:v>84.1</c:v>
                </c:pt>
              </c:numCache>
            </c:numRef>
          </c:val>
        </c:ser>
        <c:axId val="181751168"/>
        <c:axId val="18176524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81751168"/>
        <c:axId val="181765248"/>
      </c:lineChart>
      <c:catAx>
        <c:axId val="181751168"/>
        <c:scaling>
          <c:orientation val="minMax"/>
        </c:scaling>
        <c:axPos val="b"/>
        <c:tickLblPos val="nextTo"/>
        <c:crossAx val="181765248"/>
        <c:crosses val="autoZero"/>
        <c:auto val="1"/>
        <c:lblAlgn val="ctr"/>
        <c:lblOffset val="100"/>
      </c:catAx>
      <c:valAx>
        <c:axId val="181765248"/>
        <c:scaling>
          <c:orientation val="minMax"/>
        </c:scaling>
        <c:axPos val="l"/>
        <c:majorGridlines/>
        <c:title>
          <c:tx>
            <c:rich>
              <a:bodyPr rot="0" vert="horz"/>
              <a:lstStyle/>
              <a:p>
                <a:pPr>
                  <a:defRPr/>
                </a:pPr>
                <a:r>
                  <a:rPr lang="en-US"/>
                  <a:t>%</a:t>
                </a:r>
              </a:p>
            </c:rich>
          </c:tx>
          <c:layout/>
        </c:title>
        <c:numFmt formatCode="General" sourceLinked="1"/>
        <c:tickLblPos val="nextTo"/>
        <c:crossAx val="181751168"/>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Tewkesbury</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1.9</c:v>
                </c:pt>
                <c:pt idx="2">
                  <c:v>1.8</c:v>
                </c:pt>
                <c:pt idx="3">
                  <c:v>1.8</c:v>
                </c:pt>
                <c:pt idx="4">
                  <c:v>1.7</c:v>
                </c:pt>
                <c:pt idx="5">
                  <c:v>1.8</c:v>
                </c:pt>
                <c:pt idx="6">
                  <c:v>1.9</c:v>
                </c:pt>
                <c:pt idx="7">
                  <c:v>1.8</c:v>
                </c:pt>
                <c:pt idx="8">
                  <c:v>1.7</c:v>
                </c:pt>
                <c:pt idx="9">
                  <c:v>1.6</c:v>
                </c:pt>
                <c:pt idx="10">
                  <c:v>1.4</c:v>
                </c:pt>
                <c:pt idx="11">
                  <c:v>1.3</c:v>
                </c:pt>
                <c:pt idx="12">
                  <c:v>1.2</c:v>
                </c:pt>
                <c:pt idx="13">
                  <c:v>1.1000000000000001</c:v>
                </c:pt>
                <c:pt idx="14">
                  <c:v>1.1000000000000001</c:v>
                </c:pt>
                <c:pt idx="15">
                  <c:v>1</c:v>
                </c:pt>
                <c:pt idx="16">
                  <c:v>1.1000000000000001</c:v>
                </c:pt>
                <c:pt idx="17">
                  <c:v>1.1000000000000001</c:v>
                </c:pt>
                <c:pt idx="18">
                  <c:v>1.2</c:v>
                </c:pt>
                <c:pt idx="19">
                  <c:v>1</c:v>
                </c:pt>
                <c:pt idx="20">
                  <c:v>1.1000000000000001</c:v>
                </c:pt>
                <c:pt idx="21">
                  <c:v>1</c:v>
                </c:pt>
                <c:pt idx="22">
                  <c:v>1</c:v>
                </c:pt>
                <c:pt idx="23">
                  <c:v>1</c:v>
                </c:pt>
                <c:pt idx="24">
                  <c:v>1</c:v>
                </c:pt>
                <c:pt idx="25">
                  <c:v>1</c:v>
                </c:pt>
                <c:pt idx="26">
                  <c:v>1</c:v>
                </c:pt>
                <c:pt idx="27">
                  <c:v>0.9</c:v>
                </c:pt>
                <c:pt idx="28">
                  <c:v>0.9</c:v>
                </c:pt>
                <c:pt idx="29">
                  <c:v>1</c:v>
                </c:pt>
                <c:pt idx="30">
                  <c:v>1</c:v>
                </c:pt>
                <c:pt idx="31">
                  <c:v>1</c:v>
                </c:pt>
                <c:pt idx="32">
                  <c:v>1</c:v>
                </c:pt>
                <c:pt idx="33">
                  <c:v>1</c:v>
                </c:pt>
                <c:pt idx="34">
                  <c:v>1</c:v>
                </c:pt>
                <c:pt idx="35">
                  <c:v>1</c:v>
                </c:pt>
                <c:pt idx="36">
                  <c:v>1.1000000000000001</c:v>
                </c:pt>
                <c:pt idx="37">
                  <c:v>1</c:v>
                </c:pt>
                <c:pt idx="38">
                  <c:v>1</c:v>
                </c:pt>
                <c:pt idx="39">
                  <c:v>1</c:v>
                </c:pt>
                <c:pt idx="40">
                  <c:v>0.9</c:v>
                </c:pt>
                <c:pt idx="41">
                  <c:v>0.9</c:v>
                </c:pt>
                <c:pt idx="42">
                  <c:v>1</c:v>
                </c:pt>
                <c:pt idx="43">
                  <c:v>1</c:v>
                </c:pt>
                <c:pt idx="44">
                  <c:v>1</c:v>
                </c:pt>
                <c:pt idx="45">
                  <c:v>1</c:v>
                </c:pt>
                <c:pt idx="46">
                  <c:v>0.9</c:v>
                </c:pt>
                <c:pt idx="47">
                  <c:v>0.9</c:v>
                </c:pt>
                <c:pt idx="48">
                  <c:v>0.9</c:v>
                </c:pt>
                <c:pt idx="49">
                  <c:v>0.9</c:v>
                </c:pt>
                <c:pt idx="50">
                  <c:v>0.8</c:v>
                </c:pt>
                <c:pt idx="51">
                  <c:v>0.8</c:v>
                </c:pt>
                <c:pt idx="52">
                  <c:v>0.8</c:v>
                </c:pt>
                <c:pt idx="53">
                  <c:v>0.8</c:v>
                </c:pt>
                <c:pt idx="54">
                  <c:v>0.9</c:v>
                </c:pt>
                <c:pt idx="55">
                  <c:v>0.9</c:v>
                </c:pt>
                <c:pt idx="56">
                  <c:v>1</c:v>
                </c:pt>
                <c:pt idx="57">
                  <c:v>1.1000000000000001</c:v>
                </c:pt>
                <c:pt idx="58">
                  <c:v>1.1000000000000001</c:v>
                </c:pt>
                <c:pt idx="59">
                  <c:v>1.2</c:v>
                </c:pt>
                <c:pt idx="60">
                  <c:v>1.3</c:v>
                </c:pt>
                <c:pt idx="61">
                  <c:v>1.3</c:v>
                </c:pt>
              </c:numCache>
            </c:numRef>
          </c:val>
        </c:ser>
        <c:axId val="181948416"/>
        <c:axId val="18194995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1948416"/>
        <c:axId val="181949952"/>
      </c:lineChart>
      <c:catAx>
        <c:axId val="181948416"/>
        <c:scaling>
          <c:orientation val="minMax"/>
        </c:scaling>
        <c:axPos val="b"/>
        <c:tickLblPos val="nextTo"/>
        <c:crossAx val="181949952"/>
        <c:crosses val="autoZero"/>
        <c:auto val="1"/>
        <c:lblAlgn val="ctr"/>
        <c:lblOffset val="100"/>
      </c:catAx>
      <c:valAx>
        <c:axId val="181949952"/>
        <c:scaling>
          <c:orientation val="minMax"/>
        </c:scaling>
        <c:axPos val="l"/>
        <c:majorGridlines/>
        <c:numFmt formatCode="General" sourceLinked="1"/>
        <c:tickLblPos val="nextTo"/>
        <c:crossAx val="1819484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1.2</c:v>
                </c:pt>
                <c:pt idx="1">
                  <c:v>0.2</c:v>
                </c:pt>
                <c:pt idx="2">
                  <c:v>4.5</c:v>
                </c:pt>
                <c:pt idx="3">
                  <c:v>2.5</c:v>
                </c:pt>
                <c:pt idx="4">
                  <c:v>1.5</c:v>
                </c:pt>
                <c:pt idx="5">
                  <c:v>2.5</c:v>
                </c:pt>
                <c:pt idx="6">
                  <c:v>15</c:v>
                </c:pt>
                <c:pt idx="7">
                  <c:v>4</c:v>
                </c:pt>
                <c:pt idx="8">
                  <c:v>15</c:v>
                </c:pt>
                <c:pt idx="9">
                  <c:v>1.5</c:v>
                </c:pt>
                <c:pt idx="10">
                  <c:v>4</c:v>
                </c:pt>
                <c:pt idx="11">
                  <c:v>1.2</c:v>
                </c:pt>
                <c:pt idx="12">
                  <c:v>5</c:v>
                </c:pt>
                <c:pt idx="13">
                  <c:v>6</c:v>
                </c:pt>
                <c:pt idx="14">
                  <c:v>1.8</c:v>
                </c:pt>
                <c:pt idx="15">
                  <c:v>12.5</c:v>
                </c:pt>
                <c:pt idx="16">
                  <c:v>20</c:v>
                </c:pt>
                <c:pt idx="17">
                  <c:v>6</c:v>
                </c:pt>
              </c:numCache>
            </c:numRef>
          </c:val>
        </c:ser>
        <c:ser>
          <c:idx val="7"/>
          <c:order val="1"/>
          <c:tx>
            <c:strRef>
              <c:f>'front page'!$BP$19</c:f>
              <c:strCache>
                <c:ptCount val="1"/>
                <c:pt idx="0">
                  <c:v>2016</c:v>
                </c:pt>
              </c:strCache>
            </c:strRef>
          </c:tx>
          <c:val>
            <c:numRef>
              <c:f>'front page'!$BP$20:$BP$37</c:f>
              <c:numCache>
                <c:formatCode>General</c:formatCode>
                <c:ptCount val="18"/>
                <c:pt idx="0">
                  <c:v>1.1000000000000001</c:v>
                </c:pt>
                <c:pt idx="1">
                  <c:v>1.1000000000000001</c:v>
                </c:pt>
                <c:pt idx="2">
                  <c:v>4.5</c:v>
                </c:pt>
                <c:pt idx="3">
                  <c:v>2.7</c:v>
                </c:pt>
                <c:pt idx="4">
                  <c:v>1.1000000000000001</c:v>
                </c:pt>
                <c:pt idx="5">
                  <c:v>2.2999999999999998</c:v>
                </c:pt>
                <c:pt idx="6">
                  <c:v>13.6</c:v>
                </c:pt>
                <c:pt idx="7">
                  <c:v>2.7</c:v>
                </c:pt>
                <c:pt idx="8">
                  <c:v>15.9</c:v>
                </c:pt>
                <c:pt idx="9">
                  <c:v>1.8</c:v>
                </c:pt>
                <c:pt idx="10">
                  <c:v>4.5</c:v>
                </c:pt>
                <c:pt idx="11">
                  <c:v>1.4</c:v>
                </c:pt>
                <c:pt idx="12">
                  <c:v>5.5</c:v>
                </c:pt>
                <c:pt idx="13">
                  <c:v>5.5</c:v>
                </c:pt>
                <c:pt idx="14">
                  <c:v>1.4</c:v>
                </c:pt>
                <c:pt idx="15">
                  <c:v>11.4</c:v>
                </c:pt>
                <c:pt idx="16">
                  <c:v>18.2</c:v>
                </c:pt>
                <c:pt idx="17">
                  <c:v>6.4</c:v>
                </c:pt>
              </c:numCache>
            </c:numRef>
          </c:val>
        </c:ser>
        <c:ser>
          <c:idx val="0"/>
          <c:order val="2"/>
          <c:tx>
            <c:strRef>
              <c:f>'front page'!$BQ$19</c:f>
              <c:strCache>
                <c:ptCount val="1"/>
                <c:pt idx="0">
                  <c:v>2017</c:v>
                </c:pt>
              </c:strCache>
            </c:strRef>
          </c:tx>
          <c:val>
            <c:numRef>
              <c:f>'front page'!$BQ$20:$BQ$37</c:f>
              <c:numCache>
                <c:formatCode>General</c:formatCode>
                <c:ptCount val="18"/>
                <c:pt idx="0">
                  <c:v>1</c:v>
                </c:pt>
                <c:pt idx="1">
                  <c:v>0.2</c:v>
                </c:pt>
                <c:pt idx="2">
                  <c:v>5</c:v>
                </c:pt>
                <c:pt idx="3">
                  <c:v>2.9</c:v>
                </c:pt>
                <c:pt idx="4">
                  <c:v>0.8</c:v>
                </c:pt>
                <c:pt idx="5">
                  <c:v>1.7</c:v>
                </c:pt>
                <c:pt idx="6">
                  <c:v>12.5</c:v>
                </c:pt>
                <c:pt idx="7">
                  <c:v>1.9</c:v>
                </c:pt>
                <c:pt idx="8">
                  <c:v>14.6</c:v>
                </c:pt>
                <c:pt idx="9">
                  <c:v>1.7</c:v>
                </c:pt>
                <c:pt idx="10">
                  <c:v>2.9</c:v>
                </c:pt>
                <c:pt idx="11">
                  <c:v>1</c:v>
                </c:pt>
                <c:pt idx="12">
                  <c:v>7.5</c:v>
                </c:pt>
                <c:pt idx="13">
                  <c:v>7.5</c:v>
                </c:pt>
                <c:pt idx="14">
                  <c:v>1.7</c:v>
                </c:pt>
                <c:pt idx="15">
                  <c:v>10.4</c:v>
                </c:pt>
                <c:pt idx="16">
                  <c:v>18.8</c:v>
                </c:pt>
                <c:pt idx="17">
                  <c:v>4.2</c:v>
                </c:pt>
              </c:numCache>
            </c:numRef>
          </c:val>
        </c:ser>
        <c:axId val="179310592"/>
        <c:axId val="179312128"/>
      </c:barChart>
      <c:catAx>
        <c:axId val="179310592"/>
        <c:scaling>
          <c:orientation val="minMax"/>
        </c:scaling>
        <c:axPos val="b"/>
        <c:tickLblPos val="nextTo"/>
        <c:txPr>
          <a:bodyPr/>
          <a:lstStyle/>
          <a:p>
            <a:pPr>
              <a:defRPr sz="900"/>
            </a:pPr>
            <a:endParaRPr lang="en-US"/>
          </a:p>
        </c:txPr>
        <c:crossAx val="179312128"/>
        <c:crosses val="autoZero"/>
        <c:auto val="1"/>
        <c:lblAlgn val="ctr"/>
        <c:lblOffset val="100"/>
      </c:catAx>
      <c:valAx>
        <c:axId val="179312128"/>
        <c:scaling>
          <c:orientation val="minMax"/>
        </c:scaling>
        <c:axPos val="l"/>
        <c:majorGridlines/>
        <c:title>
          <c:tx>
            <c:rich>
              <a:bodyPr rot="0" vert="horz"/>
              <a:lstStyle/>
              <a:p>
                <a:pPr>
                  <a:defRPr/>
                </a:pPr>
                <a:r>
                  <a:rPr lang="en-US"/>
                  <a:t>%</a:t>
                </a:r>
              </a:p>
            </c:rich>
          </c:tx>
          <c:layout/>
        </c:title>
        <c:numFmt formatCode="General" sourceLinked="1"/>
        <c:tickLblPos val="nextTo"/>
        <c:crossAx val="179310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10.666666666666666</c:v>
                </c:pt>
                <c:pt idx="1">
                  <c:v>0.29629629629629628</c:v>
                </c:pt>
                <c:pt idx="2">
                  <c:v>7.4074074074074074</c:v>
                </c:pt>
                <c:pt idx="3">
                  <c:v>12.74074074074074</c:v>
                </c:pt>
                <c:pt idx="4">
                  <c:v>3.4074074074074074</c:v>
                </c:pt>
                <c:pt idx="5">
                  <c:v>4.7407407407407405</c:v>
                </c:pt>
                <c:pt idx="6">
                  <c:v>6.9629629629629628</c:v>
                </c:pt>
                <c:pt idx="7">
                  <c:v>2.9629629629629628</c:v>
                </c:pt>
                <c:pt idx="8">
                  <c:v>4.5925925925925926</c:v>
                </c:pt>
                <c:pt idx="9">
                  <c:v>7.4074074074074074</c:v>
                </c:pt>
                <c:pt idx="10">
                  <c:v>1.6296296296296295</c:v>
                </c:pt>
                <c:pt idx="11">
                  <c:v>3.5555555555555554</c:v>
                </c:pt>
                <c:pt idx="12">
                  <c:v>16</c:v>
                </c:pt>
                <c:pt idx="13">
                  <c:v>7.2592592592592595</c:v>
                </c:pt>
                <c:pt idx="14">
                  <c:v>0.44444444444444442</c:v>
                </c:pt>
                <c:pt idx="15">
                  <c:v>1.4814814814814814</c:v>
                </c:pt>
                <c:pt idx="16">
                  <c:v>2.8148148148148149</c:v>
                </c:pt>
                <c:pt idx="17">
                  <c:v>5.6296296296296298</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10.480349344978166</c:v>
                </c:pt>
                <c:pt idx="1">
                  <c:v>0.29112081513828236</c:v>
                </c:pt>
                <c:pt idx="2">
                  <c:v>7.5691411935953417</c:v>
                </c:pt>
                <c:pt idx="3">
                  <c:v>12.22707423580786</c:v>
                </c:pt>
                <c:pt idx="4">
                  <c:v>3.63901018922853</c:v>
                </c:pt>
                <c:pt idx="5">
                  <c:v>4.6579330422125178</c:v>
                </c:pt>
                <c:pt idx="6">
                  <c:v>6.8413391557496359</c:v>
                </c:pt>
                <c:pt idx="7">
                  <c:v>3.2023289665211063</c:v>
                </c:pt>
                <c:pt idx="8">
                  <c:v>4.8034934497816595</c:v>
                </c:pt>
                <c:pt idx="9">
                  <c:v>7.4235807860262009</c:v>
                </c:pt>
                <c:pt idx="10">
                  <c:v>1.4556040756914119</c:v>
                </c:pt>
                <c:pt idx="11">
                  <c:v>3.3478893740902476</c:v>
                </c:pt>
                <c:pt idx="12">
                  <c:v>16.739446870451236</c:v>
                </c:pt>
                <c:pt idx="13">
                  <c:v>6.9868995633187776</c:v>
                </c:pt>
                <c:pt idx="14">
                  <c:v>0.4366812227074236</c:v>
                </c:pt>
                <c:pt idx="15">
                  <c:v>1.4556040756914119</c:v>
                </c:pt>
                <c:pt idx="16">
                  <c:v>2.9112081513828238</c:v>
                </c:pt>
                <c:pt idx="17">
                  <c:v>5.5312954876273652</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10.02865329512894</c:v>
                </c:pt>
                <c:pt idx="1">
                  <c:v>0.28653295128939826</c:v>
                </c:pt>
                <c:pt idx="2">
                  <c:v>7.3065902578796562</c:v>
                </c:pt>
                <c:pt idx="3">
                  <c:v>12.177650429799426</c:v>
                </c:pt>
                <c:pt idx="4">
                  <c:v>3.5816618911174785</c:v>
                </c:pt>
                <c:pt idx="5">
                  <c:v>4.7277936962750715</c:v>
                </c:pt>
                <c:pt idx="6">
                  <c:v>7.1633237822349569</c:v>
                </c:pt>
                <c:pt idx="7">
                  <c:v>3.0085959885386822</c:v>
                </c:pt>
                <c:pt idx="8">
                  <c:v>4.4412607449856729</c:v>
                </c:pt>
                <c:pt idx="9">
                  <c:v>7.5931232091690548</c:v>
                </c:pt>
                <c:pt idx="10">
                  <c:v>1.5759312320916905</c:v>
                </c:pt>
                <c:pt idx="11">
                  <c:v>3.2951289398280803</c:v>
                </c:pt>
                <c:pt idx="12">
                  <c:v>16.905444126074499</c:v>
                </c:pt>
                <c:pt idx="13">
                  <c:v>7.4498567335243555</c:v>
                </c:pt>
                <c:pt idx="14">
                  <c:v>0.42979942693409739</c:v>
                </c:pt>
                <c:pt idx="15">
                  <c:v>1.5759312320916905</c:v>
                </c:pt>
                <c:pt idx="16">
                  <c:v>3.0085959885386822</c:v>
                </c:pt>
                <c:pt idx="17">
                  <c:v>5.4441260744985671</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10.526315789473685</c:v>
                </c:pt>
                <c:pt idx="1">
                  <c:v>0.4267425320056899</c:v>
                </c:pt>
                <c:pt idx="2">
                  <c:v>7.2546230440967285</c:v>
                </c:pt>
                <c:pt idx="3">
                  <c:v>11.379800853485063</c:v>
                </c:pt>
                <c:pt idx="4">
                  <c:v>3.6984352773826457</c:v>
                </c:pt>
                <c:pt idx="5">
                  <c:v>4.8364153627311524</c:v>
                </c:pt>
                <c:pt idx="6">
                  <c:v>6.543385490753912</c:v>
                </c:pt>
                <c:pt idx="7">
                  <c:v>3.1294452347083928</c:v>
                </c:pt>
                <c:pt idx="8">
                  <c:v>3.9829302987197726</c:v>
                </c:pt>
                <c:pt idx="9">
                  <c:v>7.9658605974395451</c:v>
                </c:pt>
                <c:pt idx="10">
                  <c:v>1.7069701280227596</c:v>
                </c:pt>
                <c:pt idx="11">
                  <c:v>3.1294452347083928</c:v>
                </c:pt>
                <c:pt idx="12">
                  <c:v>17.211948790896159</c:v>
                </c:pt>
                <c:pt idx="13">
                  <c:v>7.1123755334281649</c:v>
                </c:pt>
                <c:pt idx="14">
                  <c:v>0.71123755334281646</c:v>
                </c:pt>
                <c:pt idx="15">
                  <c:v>1.8492176386913228</c:v>
                </c:pt>
                <c:pt idx="16">
                  <c:v>2.9871977240398291</c:v>
                </c:pt>
                <c:pt idx="17">
                  <c:v>5.5476529160739689</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10.259917920656635</c:v>
                </c:pt>
                <c:pt idx="1">
                  <c:v>0.41039671682626538</c:v>
                </c:pt>
                <c:pt idx="2">
                  <c:v>7.2503419972640222</c:v>
                </c:pt>
                <c:pt idx="3">
                  <c:v>11.764705882352942</c:v>
                </c:pt>
                <c:pt idx="4">
                  <c:v>3.4199726402188784</c:v>
                </c:pt>
                <c:pt idx="5">
                  <c:v>4.6511627906976747</c:v>
                </c:pt>
                <c:pt idx="6">
                  <c:v>5.882352941176471</c:v>
                </c:pt>
                <c:pt idx="7">
                  <c:v>3.2831737346101231</c:v>
                </c:pt>
                <c:pt idx="8">
                  <c:v>3.9671682626538987</c:v>
                </c:pt>
                <c:pt idx="9">
                  <c:v>7.9343365253077973</c:v>
                </c:pt>
                <c:pt idx="10">
                  <c:v>1.6415868673050615</c:v>
                </c:pt>
                <c:pt idx="11">
                  <c:v>3.1463748290013678</c:v>
                </c:pt>
                <c:pt idx="12">
                  <c:v>17.510259917920656</c:v>
                </c:pt>
                <c:pt idx="13">
                  <c:v>6.9767441860465116</c:v>
                </c:pt>
                <c:pt idx="14">
                  <c:v>0.82079343365253077</c:v>
                </c:pt>
                <c:pt idx="15">
                  <c:v>2.0519835841313268</c:v>
                </c:pt>
                <c:pt idx="16">
                  <c:v>3.0095759233926129</c:v>
                </c:pt>
                <c:pt idx="17">
                  <c:v>6.0191518467852259</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9.7186700767263421</c:v>
                </c:pt>
                <c:pt idx="1">
                  <c:v>0.38363171355498721</c:v>
                </c:pt>
                <c:pt idx="2">
                  <c:v>6.9053708439897701</c:v>
                </c:pt>
                <c:pt idx="3">
                  <c:v>11.764705882352942</c:v>
                </c:pt>
                <c:pt idx="4">
                  <c:v>3.3248081841432224</c:v>
                </c:pt>
                <c:pt idx="5">
                  <c:v>4.3478260869565215</c:v>
                </c:pt>
                <c:pt idx="6">
                  <c:v>5.7544757033248084</c:v>
                </c:pt>
                <c:pt idx="7">
                  <c:v>3.452685421994885</c:v>
                </c:pt>
                <c:pt idx="8">
                  <c:v>4.0920716112531972</c:v>
                </c:pt>
                <c:pt idx="9">
                  <c:v>8.0562659846547309</c:v>
                </c:pt>
                <c:pt idx="10">
                  <c:v>1.6624040920716112</c:v>
                </c:pt>
                <c:pt idx="11">
                  <c:v>2.9411764705882355</c:v>
                </c:pt>
                <c:pt idx="12">
                  <c:v>17.391304347826086</c:v>
                </c:pt>
                <c:pt idx="13">
                  <c:v>7.9283887468030692</c:v>
                </c:pt>
                <c:pt idx="14">
                  <c:v>0.8951406649616368</c:v>
                </c:pt>
                <c:pt idx="15">
                  <c:v>2.0460358056265986</c:v>
                </c:pt>
                <c:pt idx="16">
                  <c:v>3.452685421994885</c:v>
                </c:pt>
                <c:pt idx="17">
                  <c:v>5.882352941176471</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9.4527363184079594</c:v>
                </c:pt>
                <c:pt idx="1">
                  <c:v>0.37313432835820898</c:v>
                </c:pt>
                <c:pt idx="2">
                  <c:v>6.5920398009950247</c:v>
                </c:pt>
                <c:pt idx="3">
                  <c:v>12.189054726368159</c:v>
                </c:pt>
                <c:pt idx="4">
                  <c:v>3.1094527363184081</c:v>
                </c:pt>
                <c:pt idx="5">
                  <c:v>4.1044776119402986</c:v>
                </c:pt>
                <c:pt idx="6">
                  <c:v>5.2238805970149258</c:v>
                </c:pt>
                <c:pt idx="7">
                  <c:v>3.4825870646766171</c:v>
                </c:pt>
                <c:pt idx="8">
                  <c:v>3.9800995024875623</c:v>
                </c:pt>
                <c:pt idx="9">
                  <c:v>8.5820895522388057</c:v>
                </c:pt>
                <c:pt idx="10">
                  <c:v>1.8656716417910448</c:v>
                </c:pt>
                <c:pt idx="11">
                  <c:v>2.9850746268656718</c:v>
                </c:pt>
                <c:pt idx="12">
                  <c:v>18.656716417910449</c:v>
                </c:pt>
                <c:pt idx="13">
                  <c:v>7.9601990049751246</c:v>
                </c:pt>
                <c:pt idx="14">
                  <c:v>0.74626865671641796</c:v>
                </c:pt>
                <c:pt idx="15">
                  <c:v>1.8656716417910448</c:v>
                </c:pt>
                <c:pt idx="16">
                  <c:v>3.3582089552238807</c:v>
                </c:pt>
                <c:pt idx="17">
                  <c:v>5.4726368159203984</c:v>
                </c:pt>
              </c:numCache>
            </c:numRef>
          </c:val>
        </c:ser>
        <c:ser>
          <c:idx val="0"/>
          <c:order val="7"/>
          <c:tx>
            <c:strRef>
              <c:f>'front page'!$J$10</c:f>
              <c:strCache>
                <c:ptCount val="1"/>
                <c:pt idx="0">
                  <c:v>2017</c:v>
                </c:pt>
              </c:strCache>
            </c:strRef>
          </c:tx>
          <c:val>
            <c:numRef>
              <c:f>'front page'!$J$11:$J$28</c:f>
              <c:numCache>
                <c:formatCode>General</c:formatCode>
                <c:ptCount val="18"/>
                <c:pt idx="0">
                  <c:v>9.0579710144927539</c:v>
                </c:pt>
                <c:pt idx="1">
                  <c:v>0.48309178743961351</c:v>
                </c:pt>
                <c:pt idx="2">
                  <c:v>6.1594202898550723</c:v>
                </c:pt>
                <c:pt idx="3">
                  <c:v>12.560386473429952</c:v>
                </c:pt>
                <c:pt idx="4">
                  <c:v>3.1400966183574881</c:v>
                </c:pt>
                <c:pt idx="5">
                  <c:v>3.9855072463768115</c:v>
                </c:pt>
                <c:pt idx="6">
                  <c:v>5.3140096618357484</c:v>
                </c:pt>
                <c:pt idx="7">
                  <c:v>3.3816425120772946</c:v>
                </c:pt>
                <c:pt idx="8">
                  <c:v>3.743961352657005</c:v>
                </c:pt>
                <c:pt idx="9">
                  <c:v>8.9371980676328509</c:v>
                </c:pt>
                <c:pt idx="10">
                  <c:v>1.932367149758454</c:v>
                </c:pt>
                <c:pt idx="11">
                  <c:v>3.0193236714975846</c:v>
                </c:pt>
                <c:pt idx="12">
                  <c:v>18.840579710144926</c:v>
                </c:pt>
                <c:pt idx="13">
                  <c:v>7.9710144927536231</c:v>
                </c:pt>
                <c:pt idx="14">
                  <c:v>0.84541062801932365</c:v>
                </c:pt>
                <c:pt idx="15">
                  <c:v>2.0531400966183573</c:v>
                </c:pt>
                <c:pt idx="16">
                  <c:v>3.3816425120772946</c:v>
                </c:pt>
                <c:pt idx="17">
                  <c:v>5.1932367149758454</c:v>
                </c:pt>
              </c:numCache>
            </c:numRef>
          </c:val>
        </c:ser>
        <c:ser>
          <c:idx val="1"/>
          <c:order val="8"/>
          <c:tx>
            <c:strRef>
              <c:f>'front page'!$K$10</c:f>
              <c:strCache>
                <c:ptCount val="1"/>
                <c:pt idx="0">
                  <c:v>2018</c:v>
                </c:pt>
              </c:strCache>
            </c:strRef>
          </c:tx>
          <c:val>
            <c:numRef>
              <c:f>'front page'!$K$11:$K$28</c:f>
              <c:numCache>
                <c:formatCode>General</c:formatCode>
                <c:ptCount val="18"/>
                <c:pt idx="0">
                  <c:v>9.0036014405762312</c:v>
                </c:pt>
                <c:pt idx="1">
                  <c:v>0.48019207683073228</c:v>
                </c:pt>
                <c:pt idx="2">
                  <c:v>6.3625450180072027</c:v>
                </c:pt>
                <c:pt idx="3">
                  <c:v>12.845138055222089</c:v>
                </c:pt>
                <c:pt idx="4">
                  <c:v>3.3613445378151261</c:v>
                </c:pt>
                <c:pt idx="5">
                  <c:v>3.9615846338535414</c:v>
                </c:pt>
                <c:pt idx="6">
                  <c:v>5.4021608643457384</c:v>
                </c:pt>
                <c:pt idx="7">
                  <c:v>3.1212484993997598</c:v>
                </c:pt>
                <c:pt idx="8">
                  <c:v>3.7214885954381751</c:v>
                </c:pt>
                <c:pt idx="9">
                  <c:v>8.8835534213685481</c:v>
                </c:pt>
                <c:pt idx="10">
                  <c:v>2.0408163265306123</c:v>
                </c:pt>
                <c:pt idx="11">
                  <c:v>3.3613445378151261</c:v>
                </c:pt>
                <c:pt idx="12">
                  <c:v>18.727490996398558</c:v>
                </c:pt>
                <c:pt idx="13">
                  <c:v>7.4429771908763502</c:v>
                </c:pt>
                <c:pt idx="14">
                  <c:v>0.84033613445378152</c:v>
                </c:pt>
                <c:pt idx="15">
                  <c:v>1.9207683073229291</c:v>
                </c:pt>
                <c:pt idx="16">
                  <c:v>3.3613445378151261</c:v>
                </c:pt>
                <c:pt idx="17">
                  <c:v>5.1620648259303721</c:v>
                </c:pt>
              </c:numCache>
            </c:numRef>
          </c:val>
        </c:ser>
        <c:axId val="179363840"/>
        <c:axId val="179365376"/>
      </c:barChart>
      <c:catAx>
        <c:axId val="179363840"/>
        <c:scaling>
          <c:orientation val="minMax"/>
        </c:scaling>
        <c:axPos val="b"/>
        <c:numFmt formatCode="General" sourceLinked="1"/>
        <c:tickLblPos val="nextTo"/>
        <c:txPr>
          <a:bodyPr/>
          <a:lstStyle/>
          <a:p>
            <a:pPr>
              <a:defRPr sz="800"/>
            </a:pPr>
            <a:endParaRPr lang="en-US"/>
          </a:p>
        </c:txPr>
        <c:crossAx val="179365376"/>
        <c:crosses val="autoZero"/>
        <c:auto val="1"/>
        <c:lblAlgn val="ctr"/>
        <c:lblOffset val="100"/>
      </c:catAx>
      <c:valAx>
        <c:axId val="179365376"/>
        <c:scaling>
          <c:orientation val="minMax"/>
        </c:scaling>
        <c:axPos val="l"/>
        <c:majorGridlines/>
        <c:title>
          <c:tx>
            <c:rich>
              <a:bodyPr rot="0" vert="horz"/>
              <a:lstStyle/>
              <a:p>
                <a:pPr>
                  <a:defRPr/>
                </a:pPr>
                <a:r>
                  <a:rPr lang="en-US"/>
                  <a:t>%</a:t>
                </a:r>
              </a:p>
            </c:rich>
          </c:tx>
          <c:layout/>
        </c:title>
        <c:numFmt formatCode="General" sourceLinked="1"/>
        <c:tickLblPos val="nextTo"/>
        <c:crossAx val="1793638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Tewkesbury</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0.9</c:v>
                </c:pt>
                <c:pt idx="1">
                  <c:v>0.8</c:v>
                </c:pt>
                <c:pt idx="2">
                  <c:v>0.8</c:v>
                </c:pt>
              </c:numCache>
            </c:numRef>
          </c:val>
        </c:ser>
        <c:axId val="179433856"/>
        <c:axId val="179435392"/>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9433856"/>
        <c:axId val="179435392"/>
      </c:lineChart>
      <c:catAx>
        <c:axId val="179433856"/>
        <c:scaling>
          <c:orientation val="minMax"/>
        </c:scaling>
        <c:axPos val="b"/>
        <c:numFmt formatCode="General" sourceLinked="1"/>
        <c:tickLblPos val="nextTo"/>
        <c:txPr>
          <a:bodyPr/>
          <a:lstStyle/>
          <a:p>
            <a:pPr>
              <a:defRPr sz="800"/>
            </a:pPr>
            <a:endParaRPr lang="en-US"/>
          </a:p>
        </c:txPr>
        <c:crossAx val="179435392"/>
        <c:crosses val="autoZero"/>
        <c:auto val="1"/>
        <c:lblAlgn val="ctr"/>
        <c:lblOffset val="100"/>
      </c:catAx>
      <c:valAx>
        <c:axId val="179435392"/>
        <c:scaling>
          <c:orientation val="minMax"/>
        </c:scaling>
        <c:axPos val="l"/>
        <c:majorGridlines/>
        <c:title>
          <c:tx>
            <c:rich>
              <a:bodyPr rot="0" vert="horz"/>
              <a:lstStyle/>
              <a:p>
                <a:pPr>
                  <a:defRPr/>
                </a:pPr>
                <a:r>
                  <a:rPr lang="en-US"/>
                  <a:t>%</a:t>
                </a:r>
              </a:p>
            </c:rich>
          </c:tx>
          <c:layout/>
        </c:title>
        <c:numFmt formatCode="General" sourceLinked="1"/>
        <c:tickLblPos val="nextTo"/>
        <c:crossAx val="179433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Tewkesbury</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10.666666666666666</c:v>
                </c:pt>
                <c:pt idx="2">
                  <c:v>10.480349344978166</c:v>
                </c:pt>
                <c:pt idx="3">
                  <c:v>10.02865329512894</c:v>
                </c:pt>
                <c:pt idx="4">
                  <c:v>10.526315789473685</c:v>
                </c:pt>
                <c:pt idx="5">
                  <c:v>10.259917920656635</c:v>
                </c:pt>
                <c:pt idx="6">
                  <c:v>9.7186700767263421</c:v>
                </c:pt>
                <c:pt idx="7">
                  <c:v>9.4527363184079594</c:v>
                </c:pt>
                <c:pt idx="8">
                  <c:v>9.0579710144927539</c:v>
                </c:pt>
                <c:pt idx="9">
                  <c:v>9.0036014405762312</c:v>
                </c:pt>
              </c:numCache>
            </c:numRef>
          </c:val>
        </c:ser>
        <c:axId val="179483392"/>
        <c:axId val="17948492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9483392"/>
        <c:axId val="179484928"/>
      </c:lineChart>
      <c:catAx>
        <c:axId val="179483392"/>
        <c:scaling>
          <c:orientation val="minMax"/>
        </c:scaling>
        <c:axPos val="b"/>
        <c:numFmt formatCode="General" sourceLinked="1"/>
        <c:tickLblPos val="nextTo"/>
        <c:txPr>
          <a:bodyPr/>
          <a:lstStyle/>
          <a:p>
            <a:pPr>
              <a:defRPr sz="800"/>
            </a:pPr>
            <a:endParaRPr lang="en-US"/>
          </a:p>
        </c:txPr>
        <c:crossAx val="179484928"/>
        <c:crosses val="autoZero"/>
        <c:auto val="1"/>
        <c:lblAlgn val="ctr"/>
        <c:lblOffset val="100"/>
      </c:catAx>
      <c:valAx>
        <c:axId val="179484928"/>
        <c:scaling>
          <c:orientation val="minMax"/>
        </c:scaling>
        <c:axPos val="l"/>
        <c:majorGridlines/>
        <c:title>
          <c:tx>
            <c:rich>
              <a:bodyPr rot="0" vert="horz"/>
              <a:lstStyle/>
              <a:p>
                <a:pPr>
                  <a:defRPr/>
                </a:pPr>
                <a:r>
                  <a:rPr lang="en-US"/>
                  <a:t>%</a:t>
                </a:r>
              </a:p>
            </c:rich>
          </c:tx>
          <c:layout/>
        </c:title>
        <c:numFmt formatCode="General" sourceLinked="1"/>
        <c:tickLblPos val="nextTo"/>
        <c:crossAx val="179483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18</Pages>
  <Words>997</Words>
  <Characters>5684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2018-11-16T15:48:00Z</dcterms:created>
  <dcterms:modified xsi:type="dcterms:W3CDTF">2018-11-16T15:58:00Z</dcterms:modified>
</cp:coreProperties>
</file>