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Override PartName="/word/charts/chart59.xml" ContentType="application/vnd.openxmlformats-officedocument.drawingml.chart+xml"/>
  <Override PartName="/word/charts/chart68.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39.xml" ContentType="application/vnd.openxmlformats-officedocument.drawingml.chart+xml"/>
  <Override PartName="/word/charts/chart48.xml" ContentType="application/vnd.openxmlformats-officedocument.drawingml.chart+xml"/>
  <Override PartName="/word/charts/chart57.xml" ContentType="application/vnd.openxmlformats-officedocument.drawingml.chart+xml"/>
  <Override PartName="/word/charts/chart6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26.xml" ContentType="application/vnd.openxmlformats-officedocument.drawingml.chart+xml"/>
  <Override PartName="/word/charts/chart37.xml" ContentType="application/vnd.openxmlformats-officedocument.drawingml.chart+xml"/>
  <Override PartName="/word/charts/chart46.xml" ContentType="application/vnd.openxmlformats-officedocument.drawingml.chart+xml"/>
  <Override PartName="/word/charts/chart55.xml" ContentType="application/vnd.openxmlformats-officedocument.drawingml.chart+xml"/>
  <Override PartName="/word/charts/chart64.xml" ContentType="application/vnd.openxmlformats-officedocument.drawingml.chart+xml"/>
  <Override PartName="/word/charts/chart73.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24.xml" ContentType="application/vnd.openxmlformats-officedocument.drawingml.chart+xml"/>
  <Override PartName="/word/charts/chart35.xml" ContentType="application/vnd.openxmlformats-officedocument.drawingml.chart+xml"/>
  <Override PartName="/word/charts/chart44.xml" ContentType="application/vnd.openxmlformats-officedocument.drawingml.chart+xml"/>
  <Override PartName="/word/charts/chart53.xml" ContentType="application/vnd.openxmlformats-officedocument.drawingml.chart+xml"/>
  <Override PartName="/word/charts/chart62.xml" ContentType="application/vnd.openxmlformats-officedocument.drawingml.chart+xml"/>
  <Override PartName="/word/charts/chart71.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22.xml" ContentType="application/vnd.openxmlformats-officedocument.drawingml.chart+xml"/>
  <Override PartName="/word/charts/chart31.xml" ContentType="application/vnd.openxmlformats-officedocument.drawingml.chart+xml"/>
  <Override PartName="/word/charts/chart33.xml" ContentType="application/vnd.openxmlformats-officedocument.drawingml.chart+xml"/>
  <Override PartName="/word/charts/chart42.xml" ContentType="application/vnd.openxmlformats-officedocument.drawingml.chart+xml"/>
  <Override PartName="/word/charts/chart51.xml" ContentType="application/vnd.openxmlformats-officedocument.drawingml.chart+xml"/>
  <Override PartName="/word/charts/chart60.xml" ContentType="application/vnd.openxmlformats-officedocument.drawingml.chart+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Override PartName="/word/charts/chart69.xml" ContentType="application/vnd.openxmlformats-officedocument.drawingml.chart+xml"/>
  <Override PartName="/word/numbering.xml" ContentType="application/vnd.openxmlformats-officedocument.wordprocessingml.numbering+xml"/>
  <Override PartName="/word/charts/chart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47.xml" ContentType="application/vnd.openxmlformats-officedocument.drawingml.chart+xml"/>
  <Override PartName="/word/charts/chart58.xml" ContentType="application/vnd.openxmlformats-officedocument.drawingml.chart+xml"/>
  <Override PartName="/word/charts/chart67.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18.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45.xml" ContentType="application/vnd.openxmlformats-officedocument.drawingml.chart+xml"/>
  <Override PartName="/word/charts/chart54.xml" ContentType="application/vnd.openxmlformats-officedocument.drawingml.chart+xml"/>
  <Override PartName="/word/charts/chart56.xml" ContentType="application/vnd.openxmlformats-officedocument.drawingml.chart+xml"/>
  <Override PartName="/word/charts/chart65.xml" ContentType="application/vnd.openxmlformats-officedocument.drawingml.chart+xml"/>
  <Override PartName="/word/charts/chart74.xml" ContentType="application/vnd.openxmlformats-officedocument.drawingml.chart+xml"/>
  <Override PartName="/word/charts/chart4.xml" ContentType="application/vnd.openxmlformats-officedocument.drawingml.chart+xml"/>
  <Override PartName="/word/charts/chart16.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43.xml" ContentType="application/vnd.openxmlformats-officedocument.drawingml.chart+xml"/>
  <Override PartName="/word/charts/chart52.xml" ContentType="application/vnd.openxmlformats-officedocument.drawingml.chart+xml"/>
  <Override PartName="/word/charts/chart63.xml" ContentType="application/vnd.openxmlformats-officedocument.drawingml.chart+xml"/>
  <Override PartName="/word/charts/chart72.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14.xml" ContentType="application/vnd.openxmlformats-officedocument.drawingml.chart+xml"/>
  <Override PartName="/word/charts/chart23.xml" ContentType="application/vnd.openxmlformats-officedocument.drawingml.chart+xml"/>
  <Override PartName="/word/charts/chart32.xml" ContentType="application/vnd.openxmlformats-officedocument.drawingml.chart+xml"/>
  <Override PartName="/word/charts/chart41.xml" ContentType="application/vnd.openxmlformats-officedocument.drawingml.chart+xml"/>
  <Override PartName="/word/charts/chart50.xml" ContentType="application/vnd.openxmlformats-officedocument.drawingml.chart+xml"/>
  <Override PartName="/word/charts/chart61.xml" ContentType="application/vnd.openxmlformats-officedocument.drawingml.chart+xml"/>
  <Override PartName="/word/charts/chart70.xml" ContentType="application/vnd.openxmlformats-officedocument.drawingml.chart+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410370">
      <w:r w:rsidRPr="00410370">
        <w:rPr>
          <w:noProof/>
          <w:lang w:val="en-US" w:eastAsia="zh-TW"/>
        </w:rPr>
        <w:pict>
          <v:shapetype id="_x0000_t202" coordsize="21600,21600" o:spt="202" path="m,l,21600r21600,l21600,xe">
            <v:stroke joinstyle="miter"/>
            <v:path gradientshapeok="t" o:connecttype="rect"/>
          </v:shapetype>
          <v:shape id="_x0000_s1026" type="#_x0000_t202" style="position:absolute;margin-left:10132.5pt;margin-top:0;width:299.8pt;height:123pt;z-index:251660288;mso-position-horizontal:right;mso-position-horizontal-relative:margin;mso-position-vertical:top;mso-position-vertical-relative:margin;mso-width-relative:margin;mso-height-relative:margin" stroked="f">
            <v:textbox style="mso-next-textbox:#_x0000_s1026">
              <w:txbxContent>
                <w:p w:rsidR="00452B0C" w:rsidRPr="006F62FD" w:rsidRDefault="00D96D74" w:rsidP="004D3814">
                  <w:pPr>
                    <w:jc w:val="right"/>
                    <w:rPr>
                      <w:rFonts w:ascii="Segoe UI" w:hAnsi="Segoe UI" w:cs="Segoe UI"/>
                      <w:b/>
                      <w:sz w:val="56"/>
                      <w:szCs w:val="72"/>
                      <w:u w:val="single"/>
                    </w:rPr>
                  </w:pPr>
                  <w:r>
                    <w:rPr>
                      <w:rFonts w:ascii="Segoe UI" w:hAnsi="Segoe UI" w:cs="Segoe UI"/>
                      <w:b/>
                      <w:sz w:val="56"/>
                      <w:szCs w:val="72"/>
                      <w:u w:val="single"/>
                    </w:rPr>
                    <w:t>Uttlesford</w:t>
                  </w:r>
                  <w:r w:rsidR="008011D2" w:rsidRPr="006F62FD">
                    <w:rPr>
                      <w:rFonts w:ascii="Segoe UI" w:hAnsi="Segoe UI" w:cs="Segoe UI"/>
                      <w:b/>
                      <w:sz w:val="56"/>
                      <w:szCs w:val="72"/>
                      <w:u w:val="single"/>
                    </w:rPr>
                    <w:t xml:space="preserve"> </w:t>
                  </w:r>
                  <w:r w:rsidR="00452B0C" w:rsidRPr="006F62FD">
                    <w:rPr>
                      <w:rFonts w:ascii="Segoe UI" w:hAnsi="Segoe UI" w:cs="Segoe UI"/>
                      <w:b/>
                      <w:sz w:val="56"/>
                      <w:szCs w:val="72"/>
                      <w:u w:val="single"/>
                    </w:rPr>
                    <w:t>Transport &amp; Travel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E60537">
        <w:rPr>
          <w:rFonts w:ascii="Segoe UI" w:hAnsi="Segoe UI" w:cs="Segoe UI"/>
        </w:rPr>
        <w:t>Transport &amp; Travel</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E60537">
        <w:rPr>
          <w:rFonts w:ascii="Segoe UI" w:hAnsi="Segoe UI" w:cs="Segoe UI"/>
        </w:rPr>
        <w:t>transport &amp; travel</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w:t>
      </w:r>
      <w:r w:rsidR="009D5C2F">
        <w:rPr>
          <w:rFonts w:ascii="Segoe UI" w:hAnsi="Segoe UI" w:cs="Segoe UI"/>
        </w:rPr>
        <w:t>uthority class and for the Predominantly Rural and Urban</w:t>
      </w:r>
      <w:r w:rsidR="00707CEB">
        <w:rPr>
          <w:rFonts w:ascii="Segoe UI" w:hAnsi="Segoe UI" w:cs="Segoe UI"/>
        </w:rPr>
        <w:t xml:space="preserve"> classification</w:t>
      </w:r>
      <w:r w:rsidR="009D5C2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C13421" w:rsidRDefault="00C13421">
      <w:pPr>
        <w:rPr>
          <w:rFonts w:ascii="Segoe UI" w:hAnsi="Segoe UI" w:cs="Segoe UI"/>
        </w:rPr>
      </w:pPr>
    </w:p>
    <w:p w:rsidR="00AA4EAF" w:rsidRDefault="00AA4EAF">
      <w:pPr>
        <w:rPr>
          <w:rFonts w:ascii="Segoe UI" w:hAnsi="Segoe UI" w:cs="Segoe UI"/>
        </w:rPr>
      </w:pPr>
      <w:r>
        <w:rPr>
          <w:rFonts w:ascii="Segoe UI" w:hAnsi="Segoe UI" w:cs="Segoe UI"/>
        </w:rPr>
        <w:t>The areas covered are:</w:t>
      </w:r>
    </w:p>
    <w:p w:rsidR="00C13421" w:rsidRDefault="00C13421">
      <w:pPr>
        <w:rPr>
          <w:rFonts w:ascii="Segoe UI" w:hAnsi="Segoe UI" w:cs="Segoe UI"/>
        </w:rPr>
      </w:pPr>
    </w:p>
    <w:p w:rsidR="00AA4EAF" w:rsidRPr="00707CEB" w:rsidRDefault="00410370" w:rsidP="00707CEB">
      <w:pPr>
        <w:pStyle w:val="ListParagraph"/>
        <w:numPr>
          <w:ilvl w:val="0"/>
          <w:numId w:val="1"/>
        </w:numPr>
        <w:rPr>
          <w:rFonts w:ascii="Segoe UI" w:hAnsi="Segoe UI" w:cs="Segoe UI"/>
        </w:rPr>
      </w:pPr>
      <w:hyperlink w:anchor="Travel" w:history="1">
        <w:r w:rsidR="00214346" w:rsidRPr="005947D7">
          <w:rPr>
            <w:rStyle w:val="Hyperlink"/>
          </w:rPr>
          <w:t>Travel time</w:t>
        </w:r>
      </w:hyperlink>
    </w:p>
    <w:p w:rsidR="00AA4EAF" w:rsidRPr="00707CEB" w:rsidRDefault="00410370" w:rsidP="00707CEB">
      <w:pPr>
        <w:pStyle w:val="ListParagraph"/>
        <w:numPr>
          <w:ilvl w:val="0"/>
          <w:numId w:val="1"/>
        </w:numPr>
        <w:rPr>
          <w:rFonts w:ascii="Segoe UI" w:hAnsi="Segoe UI" w:cs="Segoe UI"/>
        </w:rPr>
      </w:pPr>
      <w:hyperlink w:anchor="Motor" w:history="1">
        <w:r w:rsidR="00214346" w:rsidRPr="005947D7">
          <w:rPr>
            <w:rStyle w:val="Hyperlink"/>
          </w:rPr>
          <w:t>Motor vehicle traffic</w:t>
        </w:r>
      </w:hyperlink>
    </w:p>
    <w:p w:rsidR="00AA4EAF" w:rsidRPr="00707CEB" w:rsidRDefault="00410370" w:rsidP="00707CEB">
      <w:pPr>
        <w:pStyle w:val="ListParagraph"/>
        <w:numPr>
          <w:ilvl w:val="0"/>
          <w:numId w:val="1"/>
        </w:numPr>
        <w:rPr>
          <w:rFonts w:ascii="Segoe UI" w:hAnsi="Segoe UI" w:cs="Segoe UI"/>
        </w:rPr>
      </w:pPr>
      <w:hyperlink w:anchor="Road" w:history="1">
        <w:r w:rsidR="00214346" w:rsidRPr="005947D7">
          <w:rPr>
            <w:rStyle w:val="Hyperlink"/>
          </w:rPr>
          <w:t>Road network</w:t>
        </w:r>
      </w:hyperlink>
    </w:p>
    <w:p w:rsidR="00AA4EAF" w:rsidRPr="00707CEB" w:rsidRDefault="00410370" w:rsidP="00707CEB">
      <w:pPr>
        <w:pStyle w:val="ListParagraph"/>
        <w:numPr>
          <w:ilvl w:val="0"/>
          <w:numId w:val="1"/>
        </w:numPr>
        <w:rPr>
          <w:rFonts w:ascii="Segoe UI" w:hAnsi="Segoe UI" w:cs="Segoe UI"/>
        </w:rPr>
      </w:pPr>
      <w:hyperlink w:anchor="Speed" w:history="1">
        <w:r w:rsidR="00214346" w:rsidRPr="005947D7">
          <w:rPr>
            <w:rStyle w:val="Hyperlink"/>
          </w:rPr>
          <w:t>Road speed and delay</w:t>
        </w:r>
      </w:hyperlink>
    </w:p>
    <w:p w:rsidR="00214346" w:rsidRPr="00214346" w:rsidRDefault="00410370" w:rsidP="00214346">
      <w:pPr>
        <w:pStyle w:val="ListParagraph"/>
        <w:numPr>
          <w:ilvl w:val="0"/>
          <w:numId w:val="1"/>
        </w:numPr>
        <w:rPr>
          <w:rFonts w:ascii="Segoe UI" w:hAnsi="Segoe UI" w:cs="Segoe UI"/>
        </w:rPr>
      </w:pPr>
      <w:hyperlink w:anchor="Walking" w:history="1">
        <w:r w:rsidR="009D5C2F" w:rsidRPr="005947D7">
          <w:rPr>
            <w:rStyle w:val="Hyperlink"/>
          </w:rPr>
          <w:t>Walking</w:t>
        </w:r>
        <w:r w:rsidR="00214346" w:rsidRPr="005947D7">
          <w:rPr>
            <w:rStyle w:val="Hyperlink"/>
          </w:rPr>
          <w:t xml:space="preserve"> and cycling</w:t>
        </w:r>
      </w:hyperlink>
    </w:p>
    <w:p w:rsidR="00C13421" w:rsidRDefault="00C13421">
      <w:pPr>
        <w:rPr>
          <w:rFonts w:ascii="Segoe UI" w:hAnsi="Segoe UI" w:cs="Segoe UI"/>
          <w:b/>
          <w:u w:val="single"/>
        </w:rPr>
      </w:pPr>
      <w:r>
        <w:rPr>
          <w:rFonts w:ascii="Segoe UI" w:hAnsi="Segoe UI" w:cs="Segoe UI"/>
          <w:b/>
          <w:u w:val="single"/>
        </w:rPr>
        <w:br w:type="page"/>
      </w:r>
    </w:p>
    <w:p w:rsidR="00C27833" w:rsidRPr="00075447" w:rsidRDefault="00214346">
      <w:pPr>
        <w:rPr>
          <w:rFonts w:ascii="Segoe UI" w:hAnsi="Segoe UI" w:cs="Segoe UI"/>
          <w:b/>
          <w:u w:val="single"/>
        </w:rPr>
      </w:pPr>
      <w:bookmarkStart w:id="0" w:name="Travel"/>
      <w:bookmarkEnd w:id="0"/>
      <w:r>
        <w:rPr>
          <w:rFonts w:ascii="Segoe UI" w:hAnsi="Segoe UI" w:cs="Segoe UI"/>
          <w:b/>
          <w:u w:val="single"/>
        </w:rPr>
        <w:lastRenderedPageBreak/>
        <w:t>Travel time</w:t>
      </w:r>
    </w:p>
    <w:p w:rsidR="002211F3" w:rsidRPr="00826B10" w:rsidRDefault="00826B10" w:rsidP="00826B10">
      <w:pPr>
        <w:jc w:val="right"/>
        <w:rPr>
          <w:rFonts w:ascii="Segoe UI" w:hAnsi="Segoe UI" w:cs="Segoe UI"/>
          <w:i/>
          <w:sz w:val="16"/>
        </w:rPr>
      </w:pPr>
      <w:r w:rsidRPr="00826B10">
        <w:rPr>
          <w:rFonts w:ascii="Segoe UI" w:hAnsi="Segoe UI" w:cs="Segoe UI"/>
          <w:i/>
          <w:sz w:val="16"/>
        </w:rPr>
        <w:t>NB. travel times are in minutes except where travel time is above 120 minutes in which case 120 is shown.</w:t>
      </w:r>
    </w:p>
    <w:p w:rsidR="00826B10" w:rsidRDefault="00826B10">
      <w:pPr>
        <w:rPr>
          <w:rFonts w:ascii="Segoe UI" w:hAnsi="Segoe UI" w:cs="Segoe UI"/>
          <w:sz w:val="20"/>
        </w:rPr>
      </w:pPr>
    </w:p>
    <w:p w:rsidR="00075447" w:rsidRDefault="002211F3">
      <w:pPr>
        <w:rPr>
          <w:rFonts w:ascii="Segoe UI" w:hAnsi="Segoe UI" w:cs="Segoe UI"/>
          <w:sz w:val="20"/>
        </w:rPr>
      </w:pPr>
      <w:r w:rsidRPr="002211F3">
        <w:rPr>
          <w:rFonts w:ascii="Segoe UI" w:hAnsi="Segoe UI" w:cs="Segoe UI"/>
          <w:sz w:val="20"/>
        </w:rPr>
        <w:t xml:space="preserve">Travel time in minutes to nearest </w:t>
      </w:r>
      <w:r w:rsidRPr="008615B3">
        <w:rPr>
          <w:rFonts w:ascii="Segoe UI" w:hAnsi="Segoe UI" w:cs="Segoe UI"/>
          <w:sz w:val="20"/>
          <w:u w:val="single"/>
        </w:rPr>
        <w:t>employment centre</w:t>
      </w:r>
      <w:r w:rsidR="00680CB9" w:rsidRPr="008615B3">
        <w:rPr>
          <w:rFonts w:ascii="Segoe UI" w:hAnsi="Segoe UI" w:cs="Segoe UI"/>
          <w:sz w:val="20"/>
          <w:u w:val="single"/>
        </w:rPr>
        <w:t xml:space="preserve"> with 100 to 499 jobs</w:t>
      </w:r>
    </w:p>
    <w:p w:rsidR="00680CB9" w:rsidRPr="002211F3" w:rsidRDefault="00680CB9">
      <w:pPr>
        <w:rPr>
          <w:rFonts w:ascii="Segoe UI" w:hAnsi="Segoe UI" w:cs="Segoe UI"/>
          <w:sz w:val="20"/>
        </w:rPr>
      </w:pPr>
    </w:p>
    <w:p w:rsidR="002211F3" w:rsidRDefault="002211F3">
      <w:pPr>
        <w:rPr>
          <w:noProof/>
          <w:lang w:eastAsia="en-GB"/>
        </w:rPr>
      </w:pPr>
      <w:r w:rsidRPr="002211F3">
        <w:rPr>
          <w:rFonts w:ascii="Segoe UI" w:hAnsi="Segoe UI" w:cs="Segoe UI"/>
          <w:noProof/>
          <w:lang w:eastAsia="en-GB"/>
        </w:rPr>
        <w:drawing>
          <wp:inline distT="0" distB="0" distL="0" distR="0">
            <wp:extent cx="3124200" cy="2743200"/>
            <wp:effectExtent l="19050" t="0" r="19050" b="0"/>
            <wp:docPr id="1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2211F3">
        <w:rPr>
          <w:noProof/>
          <w:lang w:eastAsia="en-GB"/>
        </w:rPr>
        <w:t xml:space="preserve"> </w:t>
      </w:r>
      <w:r w:rsidRPr="002211F3">
        <w:rPr>
          <w:rFonts w:ascii="Segoe UI" w:hAnsi="Segoe UI" w:cs="Segoe UI"/>
          <w:noProof/>
          <w:lang w:eastAsia="en-GB"/>
        </w:rPr>
        <w:drawing>
          <wp:inline distT="0" distB="0" distL="0" distR="0">
            <wp:extent cx="3124200" cy="2743200"/>
            <wp:effectExtent l="19050" t="0" r="19050" b="0"/>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211F3" w:rsidRDefault="002211F3">
      <w:pPr>
        <w:rPr>
          <w:rFonts w:ascii="Segoe UI" w:hAnsi="Segoe UI" w:cs="Segoe UI"/>
        </w:rPr>
      </w:pPr>
      <w:r w:rsidRPr="002211F3">
        <w:rPr>
          <w:rFonts w:ascii="Segoe UI" w:hAnsi="Segoe UI" w:cs="Segoe UI"/>
          <w:noProof/>
          <w:lang w:eastAsia="en-GB"/>
        </w:rPr>
        <w:drawing>
          <wp:inline distT="0" distB="0" distL="0" distR="0">
            <wp:extent cx="3124200" cy="2743200"/>
            <wp:effectExtent l="19050" t="0" r="19050" b="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211F3" w:rsidRDefault="002211F3">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443081" w:rsidRDefault="00680CB9">
      <w:pPr>
        <w:rPr>
          <w:rFonts w:ascii="Segoe UI" w:hAnsi="Segoe UI" w:cs="Segoe UI"/>
          <w:sz w:val="20"/>
        </w:rPr>
      </w:pPr>
      <w:r w:rsidRPr="00680CB9">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500 to 4999 jobs</w:t>
      </w:r>
    </w:p>
    <w:p w:rsidR="00680CB9" w:rsidRDefault="00680CB9">
      <w:pPr>
        <w:rPr>
          <w:rFonts w:ascii="Segoe UI" w:hAnsi="Segoe UI" w:cs="Segoe UI"/>
          <w:sz w:val="20"/>
        </w:rPr>
      </w:pPr>
    </w:p>
    <w:p w:rsidR="00680CB9" w:rsidRDefault="00680CB9">
      <w:pPr>
        <w:rPr>
          <w:noProof/>
          <w:lang w:eastAsia="en-GB"/>
        </w:rPr>
      </w:pPr>
      <w:r w:rsidRPr="00680CB9">
        <w:rPr>
          <w:rFonts w:ascii="Segoe UI" w:hAnsi="Segoe UI" w:cs="Segoe UI"/>
          <w:noProof/>
          <w:lang w:eastAsia="en-GB"/>
        </w:rPr>
        <w:drawing>
          <wp:inline distT="0" distB="0" distL="0" distR="0">
            <wp:extent cx="3124200" cy="2743200"/>
            <wp:effectExtent l="19050" t="0" r="19050" b="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680CB9">
        <w:rPr>
          <w:noProof/>
          <w:lang w:eastAsia="en-GB"/>
        </w:rPr>
        <w:t xml:space="preserve"> </w:t>
      </w:r>
      <w:r w:rsidRPr="00680CB9">
        <w:rPr>
          <w:rFonts w:ascii="Segoe UI" w:hAnsi="Segoe UI" w:cs="Segoe UI"/>
          <w:noProof/>
          <w:lang w:eastAsia="en-GB"/>
        </w:rPr>
        <w:drawing>
          <wp:inline distT="0" distB="0" distL="0" distR="0">
            <wp:extent cx="3124200" cy="2743200"/>
            <wp:effectExtent l="19050" t="0" r="19050" b="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80CB9" w:rsidRDefault="00680CB9">
      <w:pPr>
        <w:rPr>
          <w:rFonts w:ascii="Segoe UI" w:hAnsi="Segoe UI" w:cs="Segoe UI"/>
        </w:rPr>
      </w:pPr>
      <w:r w:rsidRPr="00680CB9">
        <w:rPr>
          <w:rFonts w:ascii="Segoe UI" w:hAnsi="Segoe UI" w:cs="Segoe UI"/>
          <w:noProof/>
          <w:lang w:eastAsia="en-GB"/>
        </w:rPr>
        <w:drawing>
          <wp:inline distT="0" distB="0" distL="0" distR="0">
            <wp:extent cx="3190875" cy="2743200"/>
            <wp:effectExtent l="19050" t="0" r="9525" b="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21DB6" w:rsidRDefault="00E21DB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E21DB6" w:rsidRDefault="00E21DB6">
      <w:pPr>
        <w:rPr>
          <w:rFonts w:ascii="Segoe UI" w:hAnsi="Segoe UI" w:cs="Segoe UI"/>
          <w:sz w:val="20"/>
        </w:rPr>
      </w:pPr>
      <w:r w:rsidRPr="00E21DB6">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at least 5000 jobs</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E21DB6">
        <w:rPr>
          <w:noProof/>
          <w:lang w:eastAsia="en-GB"/>
        </w:rPr>
        <w:t xml:space="preserve"> </w:t>
      </w:r>
      <w:r w:rsidRPr="00E21DB6">
        <w:rPr>
          <w:rFonts w:ascii="Segoe UI" w:hAnsi="Segoe UI" w:cs="Segoe UI"/>
          <w:noProof/>
          <w:sz w:val="20"/>
          <w:lang w:eastAsia="en-GB"/>
        </w:rPr>
        <w:drawing>
          <wp:inline distT="0" distB="0" distL="0" distR="0">
            <wp:extent cx="3190875" cy="2743200"/>
            <wp:effectExtent l="19050" t="0" r="9525" b="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21DB6" w:rsidRDefault="00E21DB6">
      <w:pPr>
        <w:rPr>
          <w:rFonts w:ascii="Segoe UI" w:hAnsi="Segoe UI" w:cs="Segoe UI"/>
          <w:sz w:val="20"/>
        </w:rPr>
      </w:pPr>
      <w:r w:rsidRPr="00E21DB6">
        <w:rPr>
          <w:rFonts w:ascii="Segoe UI" w:hAnsi="Segoe UI" w:cs="Segoe UI"/>
          <w:noProof/>
          <w:sz w:val="20"/>
          <w:lang w:eastAsia="en-GB"/>
        </w:rPr>
        <w:drawing>
          <wp:inline distT="0" distB="0" distL="0" distR="0">
            <wp:extent cx="3190875" cy="2743200"/>
            <wp:effectExtent l="19050" t="0" r="9525" b="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21DB6" w:rsidRDefault="00E21DB6">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E21DB6" w:rsidRDefault="008615B3">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Public Transport/Walk</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F6181E" w:rsidRPr="00F6181E">
        <w:rPr>
          <w:noProof/>
          <w:lang w:eastAsia="en-GB"/>
        </w:rPr>
        <w:t xml:space="preserve"> </w:t>
      </w:r>
      <w:r w:rsidR="00F6181E" w:rsidRPr="00F6181E">
        <w:rPr>
          <w:rFonts w:ascii="Segoe UI" w:hAnsi="Segoe UI" w:cs="Segoe UI"/>
          <w:noProof/>
          <w:sz w:val="20"/>
          <w:lang w:eastAsia="en-GB"/>
        </w:rPr>
        <w:drawing>
          <wp:inline distT="0" distB="0" distL="0" distR="0">
            <wp:extent cx="3190875" cy="2743200"/>
            <wp:effectExtent l="19050" t="0" r="9525" b="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6181E" w:rsidRDefault="00F6181E">
      <w:pPr>
        <w:rPr>
          <w:noProof/>
          <w:lang w:eastAsia="en-GB"/>
        </w:rPr>
      </w:pPr>
    </w:p>
    <w:p w:rsidR="00C13421" w:rsidRDefault="00C13421">
      <w:pPr>
        <w:rPr>
          <w:noProof/>
          <w:lang w:eastAsia="en-GB"/>
        </w:rPr>
      </w:pPr>
    </w:p>
    <w:p w:rsidR="00F6181E" w:rsidRDefault="00F6181E" w:rsidP="00F6181E">
      <w:pPr>
        <w:rPr>
          <w:rFonts w:ascii="Segoe UI" w:hAnsi="Segoe UI" w:cs="Segoe UI"/>
          <w:sz w:val="20"/>
        </w:rPr>
      </w:pPr>
      <w:r w:rsidRPr="008615B3">
        <w:rPr>
          <w:rFonts w:ascii="Segoe UI" w:hAnsi="Segoe UI" w:cs="Segoe UI"/>
          <w:sz w:val="20"/>
        </w:rPr>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Cycle</w:t>
      </w:r>
    </w:p>
    <w:p w:rsidR="00F6181E" w:rsidRDefault="00F6181E" w:rsidP="00F6181E">
      <w:pPr>
        <w:rPr>
          <w:rFonts w:ascii="Segoe UI" w:hAnsi="Segoe UI" w:cs="Segoe UI"/>
          <w:sz w:val="20"/>
        </w:rPr>
      </w:pPr>
    </w:p>
    <w:p w:rsidR="00F6181E" w:rsidRDefault="00F6181E" w:rsidP="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F6181E">
        <w:rPr>
          <w:noProof/>
          <w:lang w:eastAsia="en-GB"/>
        </w:rPr>
        <w:t xml:space="preserve"> </w:t>
      </w:r>
      <w:r w:rsidRPr="00F6181E">
        <w:rPr>
          <w:rFonts w:ascii="Segoe UI" w:hAnsi="Segoe UI" w:cs="Segoe UI"/>
          <w:noProof/>
          <w:sz w:val="20"/>
          <w:lang w:eastAsia="en-GB"/>
        </w:rPr>
        <w:drawing>
          <wp:inline distT="0" distB="0" distL="0" distR="0">
            <wp:extent cx="3190875" cy="2743200"/>
            <wp:effectExtent l="19050" t="0" r="9525" b="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6181E" w:rsidRDefault="00F6181E" w:rsidP="00F6181E">
      <w:pPr>
        <w:rPr>
          <w:noProof/>
          <w:lang w:eastAsia="en-GB"/>
        </w:rPr>
      </w:pPr>
    </w:p>
    <w:p w:rsidR="00C13421" w:rsidRDefault="00C13421">
      <w:pPr>
        <w:rPr>
          <w:rFonts w:ascii="Segoe UI" w:hAnsi="Segoe UI" w:cs="Segoe UI"/>
          <w:sz w:val="20"/>
        </w:rPr>
      </w:pPr>
      <w:r>
        <w:rPr>
          <w:rFonts w:ascii="Segoe UI" w:hAnsi="Segoe UI" w:cs="Segoe UI"/>
          <w:sz w:val="20"/>
        </w:rPr>
        <w:br w:type="page"/>
      </w:r>
    </w:p>
    <w:p w:rsidR="00F6181E" w:rsidRDefault="00F6181E" w:rsidP="00F6181E">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Car</w:t>
      </w:r>
    </w:p>
    <w:p w:rsidR="00F6181E" w:rsidRDefault="00F6181E" w:rsidP="00F6181E">
      <w:pPr>
        <w:rPr>
          <w:rFonts w:ascii="Segoe UI" w:hAnsi="Segoe UI" w:cs="Segoe UI"/>
          <w:sz w:val="20"/>
        </w:rPr>
      </w:pPr>
    </w:p>
    <w:p w:rsidR="00F6181E" w:rsidRDefault="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A504D8" w:rsidRPr="00A504D8">
        <w:rPr>
          <w:noProof/>
          <w:lang w:eastAsia="en-GB"/>
        </w:rPr>
        <w:t xml:space="preserve"> </w:t>
      </w:r>
      <w:r w:rsidR="00A504D8" w:rsidRPr="00A504D8">
        <w:rPr>
          <w:rFonts w:ascii="Segoe UI" w:hAnsi="Segoe UI" w:cs="Segoe UI"/>
          <w:noProof/>
          <w:sz w:val="20"/>
          <w:lang w:eastAsia="en-GB"/>
        </w:rPr>
        <w:drawing>
          <wp:inline distT="0" distB="0" distL="0" distR="0">
            <wp:extent cx="3190875" cy="2743200"/>
            <wp:effectExtent l="19050" t="0" r="9525" b="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504D8" w:rsidRDefault="00A504D8">
      <w:pPr>
        <w:rPr>
          <w:noProof/>
          <w:lang w:eastAsia="en-GB"/>
        </w:rPr>
      </w:pPr>
    </w:p>
    <w:p w:rsidR="00C13421" w:rsidRDefault="00C13421">
      <w:pPr>
        <w:rPr>
          <w:noProof/>
          <w:lang w:eastAsia="en-GB"/>
        </w:rPr>
      </w:pPr>
    </w:p>
    <w:p w:rsidR="00154234" w:rsidRDefault="00154234" w:rsidP="001542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Public Transport/Walk</w:t>
      </w:r>
    </w:p>
    <w:p w:rsidR="00154234" w:rsidRDefault="00154234" w:rsidP="00154234">
      <w:pPr>
        <w:rPr>
          <w:rFonts w:ascii="Segoe UI" w:hAnsi="Segoe UI" w:cs="Segoe UI"/>
          <w:sz w:val="20"/>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90875" cy="2743200"/>
            <wp:effectExtent l="19050" t="0" r="9525" b="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90875" cy="2743200"/>
            <wp:effectExtent l="19050" t="0" r="9525" b="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54234" w:rsidRDefault="00154234" w:rsidP="001542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54234" w:rsidRDefault="00154234" w:rsidP="00154234">
      <w:pPr>
        <w:rPr>
          <w:noProof/>
          <w:lang w:eastAsia="en-GB"/>
        </w:rPr>
      </w:pPr>
      <w:r w:rsidRPr="008615B3">
        <w:rPr>
          <w:rFonts w:ascii="Segoe UI" w:hAnsi="Segoe UI" w:cs="Segoe UI"/>
          <w:sz w:val="20"/>
        </w:rPr>
        <w:lastRenderedPageBreak/>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Cycle</w:t>
      </w:r>
    </w:p>
    <w:p w:rsidR="00154234" w:rsidRDefault="00154234" w:rsidP="00154234">
      <w:pPr>
        <w:rPr>
          <w:noProof/>
          <w:lang w:eastAsia="en-GB"/>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71825" cy="2743200"/>
            <wp:effectExtent l="19050" t="0" r="9525" b="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54234" w:rsidRDefault="00154234" w:rsidP="00154234">
      <w:pPr>
        <w:rPr>
          <w:noProof/>
          <w:lang w:eastAsia="en-GB"/>
        </w:rPr>
      </w:pPr>
    </w:p>
    <w:p w:rsidR="00C13421" w:rsidRDefault="00C13421" w:rsidP="00154234">
      <w:pPr>
        <w:rPr>
          <w:noProof/>
          <w:lang w:eastAsia="en-GB"/>
        </w:rPr>
      </w:pPr>
    </w:p>
    <w:p w:rsidR="00154234" w:rsidRDefault="00154234" w:rsidP="00154234">
      <w:pPr>
        <w:rPr>
          <w:noProof/>
          <w:lang w:eastAsia="en-GB"/>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Car</w:t>
      </w:r>
    </w:p>
    <w:p w:rsidR="00154234" w:rsidRDefault="00154234" w:rsidP="00154234">
      <w:pPr>
        <w:rPr>
          <w:rFonts w:ascii="Segoe UI" w:hAnsi="Segoe UI" w:cs="Segoe UI"/>
          <w:sz w:val="20"/>
        </w:rPr>
      </w:pPr>
    </w:p>
    <w:p w:rsidR="00154234" w:rsidRDefault="00154234" w:rsidP="00154234">
      <w:pPr>
        <w:rPr>
          <w:rFonts w:ascii="Segoe UI" w:hAnsi="Segoe UI" w:cs="Segoe UI"/>
          <w:sz w:val="20"/>
        </w:rPr>
      </w:pPr>
      <w:r w:rsidRPr="00154234">
        <w:rPr>
          <w:rFonts w:ascii="Segoe UI" w:hAnsi="Segoe UI" w:cs="Segoe UI"/>
          <w:noProof/>
          <w:sz w:val="20"/>
          <w:lang w:eastAsia="en-GB"/>
        </w:rPr>
        <w:drawing>
          <wp:inline distT="0" distB="0" distL="0" distR="0">
            <wp:extent cx="3171825" cy="2743200"/>
            <wp:effectExtent l="19050" t="0" r="9525" b="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504D8" w:rsidRDefault="00A504D8">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843934" w:rsidRDefault="00843934" w:rsidP="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Public Transport/Walk</w:t>
      </w:r>
    </w:p>
    <w:p w:rsidR="00843934" w:rsidRDefault="00843934" w:rsidP="00843934">
      <w:pPr>
        <w:rPr>
          <w:rFonts w:ascii="Segoe UI" w:hAnsi="Segoe UI" w:cs="Segoe UI"/>
          <w:sz w:val="20"/>
        </w:rPr>
      </w:pPr>
    </w:p>
    <w:p w:rsidR="00843934" w:rsidRDefault="00843934" w:rsidP="00843934">
      <w:pPr>
        <w:rPr>
          <w:noProof/>
          <w:lang w:eastAsia="en-GB"/>
        </w:rPr>
      </w:pPr>
      <w:r w:rsidRPr="00843934">
        <w:rPr>
          <w:noProof/>
          <w:lang w:eastAsia="en-GB"/>
        </w:rPr>
        <w:drawing>
          <wp:inline distT="0" distB="0" distL="0" distR="0">
            <wp:extent cx="3171825" cy="2743200"/>
            <wp:effectExtent l="19050" t="0" r="9525" b="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843934">
        <w:rPr>
          <w:noProof/>
          <w:lang w:eastAsia="en-GB"/>
        </w:rPr>
        <w:t xml:space="preserve"> </w:t>
      </w:r>
      <w:r w:rsidRPr="00843934">
        <w:rPr>
          <w:noProof/>
          <w:lang w:eastAsia="en-GB"/>
        </w:rPr>
        <w:drawing>
          <wp:inline distT="0" distB="0" distL="0" distR="0">
            <wp:extent cx="3171825" cy="2743200"/>
            <wp:effectExtent l="19050" t="0" r="9525" b="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843934" w:rsidRDefault="00843934" w:rsidP="00843934">
      <w:pPr>
        <w:rPr>
          <w:noProof/>
          <w:lang w:eastAsia="en-GB"/>
        </w:rPr>
      </w:pPr>
    </w:p>
    <w:p w:rsidR="00C13421" w:rsidRDefault="00C13421" w:rsidP="00843934">
      <w:pPr>
        <w:rPr>
          <w:noProof/>
          <w:lang w:eastAsia="en-GB"/>
        </w:rPr>
      </w:pPr>
    </w:p>
    <w:p w:rsidR="00843934" w:rsidRDefault="00843934" w:rsidP="008439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Cycle</w:t>
      </w:r>
    </w:p>
    <w:p w:rsidR="00843934" w:rsidRDefault="00843934" w:rsidP="00843934">
      <w:pPr>
        <w:rPr>
          <w:noProof/>
          <w:lang w:eastAsia="en-GB"/>
        </w:rPr>
      </w:pPr>
    </w:p>
    <w:p w:rsidR="00F6181E" w:rsidRDefault="00843934">
      <w:pPr>
        <w:rPr>
          <w:noProof/>
          <w:lang w:eastAsia="en-GB"/>
        </w:rPr>
      </w:pPr>
      <w:r w:rsidRPr="00843934">
        <w:rPr>
          <w:rFonts w:ascii="Segoe UI" w:hAnsi="Segoe UI" w:cs="Segoe UI"/>
          <w:noProof/>
          <w:sz w:val="20"/>
          <w:lang w:eastAsia="en-GB"/>
        </w:rPr>
        <w:drawing>
          <wp:inline distT="0" distB="0" distL="0" distR="0">
            <wp:extent cx="3171825" cy="2743200"/>
            <wp:effectExtent l="19050" t="0" r="9525" b="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843934">
        <w:rPr>
          <w:noProof/>
          <w:lang w:eastAsia="en-GB"/>
        </w:rPr>
        <w:t xml:space="preserve"> </w:t>
      </w:r>
      <w:r w:rsidRPr="00843934">
        <w:rPr>
          <w:rFonts w:ascii="Segoe UI" w:hAnsi="Segoe UI" w:cs="Segoe UI"/>
          <w:noProof/>
          <w:sz w:val="20"/>
          <w:lang w:eastAsia="en-GB"/>
        </w:rPr>
        <w:drawing>
          <wp:inline distT="0" distB="0" distL="0" distR="0">
            <wp:extent cx="3171825" cy="2743200"/>
            <wp:effectExtent l="19050" t="0" r="9525" b="0"/>
            <wp:docPr id="4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843934" w:rsidRDefault="008439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843934" w:rsidRPr="00E21DB6" w:rsidRDefault="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w:t>
      </w:r>
      <w:r w:rsidR="001157F0">
        <w:rPr>
          <w:rFonts w:ascii="Segoe UI" w:hAnsi="Segoe UI" w:cs="Segoe UI"/>
          <w:sz w:val="20"/>
        </w:rPr>
        <w:t>ar</w:t>
      </w:r>
    </w:p>
    <w:p w:rsidR="00DE69DB" w:rsidRDefault="00DE69DB">
      <w:pPr>
        <w:rPr>
          <w:rFonts w:ascii="Segoe UI" w:hAnsi="Segoe UI" w:cs="Segoe UI"/>
        </w:rPr>
      </w:pPr>
    </w:p>
    <w:p w:rsidR="00680CB9"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4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1157F0" w:rsidRDefault="001157F0">
      <w:pPr>
        <w:rPr>
          <w:noProof/>
          <w:lang w:eastAsia="en-GB"/>
        </w:rPr>
      </w:pPr>
    </w:p>
    <w:p w:rsidR="00C13421" w:rsidRDefault="00C13421">
      <w:pPr>
        <w:rPr>
          <w:noProof/>
          <w:lang w:eastAsia="en-GB"/>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Public Transport/Walk</w:t>
      </w:r>
    </w:p>
    <w:p w:rsidR="001157F0" w:rsidRDefault="001157F0">
      <w:pPr>
        <w:rPr>
          <w:rFonts w:ascii="Segoe UI" w:hAnsi="Segoe UI" w:cs="Segoe UI"/>
        </w:rPr>
      </w:pPr>
    </w:p>
    <w:p w:rsidR="001157F0"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1157F0" w:rsidRDefault="001157F0">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157F0" w:rsidRDefault="001157F0">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Cycle</w:t>
      </w:r>
    </w:p>
    <w:p w:rsidR="001157F0" w:rsidRDefault="001157F0">
      <w:pPr>
        <w:rPr>
          <w:rFonts w:ascii="Segoe UI" w:hAnsi="Segoe UI" w:cs="Segoe UI"/>
          <w:sz w:val="20"/>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123766" w:rsidRDefault="00123766">
      <w:pPr>
        <w:rPr>
          <w:rFonts w:ascii="Segoe UI" w:hAnsi="Segoe UI" w:cs="Segoe UI"/>
        </w:rPr>
      </w:pPr>
    </w:p>
    <w:p w:rsidR="00C13421" w:rsidRDefault="00C13421">
      <w:pPr>
        <w:rPr>
          <w:rFonts w:ascii="Segoe UI" w:hAnsi="Segoe UI" w:cs="Segoe UI"/>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Car</w:t>
      </w:r>
    </w:p>
    <w:p w:rsidR="001157F0" w:rsidRDefault="001157F0">
      <w:pPr>
        <w:rPr>
          <w:rFonts w:ascii="Segoe UI" w:hAnsi="Segoe UI" w:cs="Segoe UI"/>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123766" w:rsidRDefault="0012376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6D6F09" w:rsidRDefault="006D6F09" w:rsidP="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Public Transport/Walk</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6D6F09" w:rsidRDefault="006D6F09" w:rsidP="006D6F09">
      <w:pPr>
        <w:rPr>
          <w:rFonts w:ascii="Segoe UI" w:hAnsi="Segoe UI" w:cs="Segoe UI"/>
          <w:sz w:val="20"/>
        </w:rPr>
      </w:pPr>
    </w:p>
    <w:p w:rsidR="00C13421" w:rsidRPr="006D6F09"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Cycle</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7FA7" w:rsidRDefault="00A67FA7">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D6F09" w:rsidRPr="006D6F09" w:rsidRDefault="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Car</w:t>
      </w:r>
    </w:p>
    <w:p w:rsidR="006D6F09" w:rsidRDefault="006D6F09">
      <w:pPr>
        <w:rPr>
          <w:rFonts w:ascii="Segoe UI" w:hAnsi="Segoe UI" w:cs="Segoe UI"/>
          <w:sz w:val="20"/>
        </w:rPr>
      </w:pPr>
    </w:p>
    <w:p w:rsidR="006D6F09" w:rsidRDefault="006D6F09">
      <w:pPr>
        <w:rPr>
          <w:noProof/>
          <w:lang w:eastAsia="en-GB"/>
        </w:rPr>
      </w:pPr>
      <w:r w:rsidRPr="006D6F09">
        <w:rPr>
          <w:rFonts w:ascii="Segoe UI" w:hAnsi="Segoe UI" w:cs="Segoe UI"/>
          <w:noProof/>
          <w:sz w:val="20"/>
          <w:lang w:eastAsia="en-GB"/>
        </w:rPr>
        <w:drawing>
          <wp:inline distT="0" distB="0" distL="0" distR="0">
            <wp:extent cx="3171825" cy="2743200"/>
            <wp:effectExtent l="19050" t="0" r="9525" b="0"/>
            <wp:docPr id="5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6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6F2C9A" w:rsidRDefault="006F2C9A" w:rsidP="006F2C9A">
      <w:pPr>
        <w:rPr>
          <w:rFonts w:ascii="Segoe UI" w:hAnsi="Segoe UI" w:cs="Segoe UI"/>
          <w:sz w:val="20"/>
        </w:rPr>
      </w:pPr>
    </w:p>
    <w:p w:rsidR="00C13421" w:rsidRDefault="00C13421" w:rsidP="006F2C9A">
      <w:pPr>
        <w:rPr>
          <w:rFonts w:ascii="Segoe UI" w:hAnsi="Segoe UI" w:cs="Segoe UI"/>
          <w:sz w:val="20"/>
        </w:rPr>
      </w:pPr>
    </w:p>
    <w:p w:rsidR="006F2C9A" w:rsidRDefault="006F2C9A" w:rsidP="006F2C9A">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Cycle</w:t>
      </w:r>
    </w:p>
    <w:p w:rsidR="006F2C9A" w:rsidRDefault="006F2C9A" w:rsidP="006F2C9A">
      <w:pPr>
        <w:rPr>
          <w:rFonts w:ascii="Segoe UI" w:hAnsi="Segoe UI" w:cs="Segoe UI"/>
          <w:sz w:val="20"/>
        </w:rPr>
      </w:pPr>
    </w:p>
    <w:p w:rsidR="006F2C9A" w:rsidRPr="006D6F09" w:rsidRDefault="006F2C9A" w:rsidP="006F2C9A">
      <w:pPr>
        <w:rPr>
          <w:rFonts w:ascii="Segoe UI" w:hAnsi="Segoe UI" w:cs="Segoe UI"/>
          <w:sz w:val="20"/>
        </w:rPr>
      </w:pPr>
      <w:r w:rsidRPr="00077094">
        <w:rPr>
          <w:rFonts w:ascii="Segoe UI" w:hAnsi="Segoe UI" w:cs="Segoe UI"/>
          <w:noProof/>
          <w:sz w:val="20"/>
          <w:lang w:eastAsia="en-GB"/>
        </w:rPr>
        <w:drawing>
          <wp:inline distT="0" distB="0" distL="0" distR="0">
            <wp:extent cx="3190875" cy="2743200"/>
            <wp:effectExtent l="19050" t="0" r="9525" b="0"/>
            <wp:docPr id="87"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88"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6F2C9A" w:rsidRDefault="006F2C9A" w:rsidP="006F2C9A">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F2C9A" w:rsidRDefault="006F2C9A" w:rsidP="006F2C9A">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Car</w:t>
      </w:r>
    </w:p>
    <w:p w:rsidR="006F2C9A" w:rsidRDefault="006F2C9A" w:rsidP="006F2C9A">
      <w:pPr>
        <w:rPr>
          <w:rFonts w:ascii="Segoe UI" w:hAnsi="Segoe UI" w:cs="Segoe UI"/>
          <w:sz w:val="20"/>
        </w:rPr>
      </w:pPr>
    </w:p>
    <w:p w:rsidR="006F2C9A" w:rsidRDefault="006F2C9A" w:rsidP="006F2C9A">
      <w:pPr>
        <w:rPr>
          <w:rFonts w:ascii="Segoe UI" w:hAnsi="Segoe UI" w:cs="Segoe UI"/>
          <w:sz w:val="20"/>
        </w:rPr>
      </w:pPr>
      <w:r w:rsidRPr="00F93AE4">
        <w:rPr>
          <w:rFonts w:ascii="Segoe UI" w:hAnsi="Segoe UI" w:cs="Segoe UI"/>
          <w:noProof/>
          <w:sz w:val="20"/>
          <w:lang w:eastAsia="en-GB"/>
        </w:rPr>
        <w:drawing>
          <wp:inline distT="0" distB="0" distL="0" distR="0">
            <wp:extent cx="3190875" cy="2743200"/>
            <wp:effectExtent l="19050" t="0" r="9525" b="0"/>
            <wp:docPr id="89"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90"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6D6F09" w:rsidRDefault="006D6F09" w:rsidP="006D6F09">
      <w:pPr>
        <w:rPr>
          <w:rFonts w:ascii="Segoe UI" w:hAnsi="Segoe UI" w:cs="Segoe UI"/>
          <w:sz w:val="20"/>
        </w:rPr>
      </w:pPr>
    </w:p>
    <w:p w:rsidR="00C13421"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sidR="00182EBD">
        <w:rPr>
          <w:rFonts w:ascii="Segoe UI" w:hAnsi="Segoe UI" w:cs="Segoe UI"/>
          <w:sz w:val="20"/>
          <w:u w:val="single"/>
        </w:rPr>
        <w:t>Food Store</w:t>
      </w:r>
      <w:r w:rsidRPr="008615B3">
        <w:rPr>
          <w:rFonts w:ascii="Segoe UI" w:hAnsi="Segoe UI" w:cs="Segoe UI"/>
          <w:sz w:val="20"/>
        </w:rPr>
        <w:t xml:space="preserve"> by </w:t>
      </w:r>
      <w:r w:rsidR="00182EBD">
        <w:rPr>
          <w:rFonts w:ascii="Segoe UI" w:hAnsi="Segoe UI" w:cs="Segoe UI"/>
          <w:sz w:val="20"/>
        </w:rPr>
        <w:t>Public Transport/Walk</w:t>
      </w:r>
    </w:p>
    <w:p w:rsidR="00182EBD" w:rsidRPr="006D6F09" w:rsidRDefault="00182EBD" w:rsidP="006D6F09">
      <w:pPr>
        <w:rPr>
          <w:rFonts w:ascii="Segoe UI" w:hAnsi="Segoe UI" w:cs="Segoe UI"/>
          <w:sz w:val="20"/>
        </w:rPr>
      </w:pPr>
    </w:p>
    <w:p w:rsidR="006D6F09" w:rsidRDefault="00182EBD" w:rsidP="006D6F09">
      <w:pPr>
        <w:rPr>
          <w:rFonts w:ascii="Segoe UI" w:hAnsi="Segoe UI" w:cs="Segoe UI"/>
          <w:sz w:val="20"/>
        </w:rPr>
      </w:pPr>
      <w:r w:rsidRPr="00182EBD">
        <w:rPr>
          <w:rFonts w:ascii="Segoe UI" w:hAnsi="Segoe UI" w:cs="Segoe UI"/>
          <w:noProof/>
          <w:sz w:val="20"/>
          <w:lang w:eastAsia="en-GB"/>
        </w:rPr>
        <w:drawing>
          <wp:inline distT="0" distB="0" distL="0" distR="0">
            <wp:extent cx="3124200" cy="2743200"/>
            <wp:effectExtent l="19050" t="0" r="19050" b="0"/>
            <wp:docPr id="6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Pr="00182EBD">
        <w:rPr>
          <w:noProof/>
          <w:lang w:eastAsia="en-GB"/>
        </w:rPr>
        <w:t xml:space="preserve"> </w:t>
      </w:r>
      <w:r w:rsidRPr="00182EBD">
        <w:rPr>
          <w:rFonts w:ascii="Segoe UI" w:hAnsi="Segoe UI" w:cs="Segoe UI"/>
          <w:noProof/>
          <w:sz w:val="20"/>
          <w:lang w:eastAsia="en-GB"/>
        </w:rPr>
        <w:drawing>
          <wp:inline distT="0" distB="0" distL="0" distR="0">
            <wp:extent cx="3124200" cy="2743200"/>
            <wp:effectExtent l="19050" t="0" r="19050" b="0"/>
            <wp:docPr id="6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182EBD" w:rsidRDefault="00182EBD" w:rsidP="00182EBD">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182EBD" w:rsidRDefault="00182EBD" w:rsidP="00182EBD">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Cycle</w:t>
      </w:r>
    </w:p>
    <w:p w:rsidR="00182EBD" w:rsidRPr="006D6F09" w:rsidRDefault="00182EBD" w:rsidP="00182EBD">
      <w:pPr>
        <w:rPr>
          <w:rFonts w:ascii="Segoe UI" w:hAnsi="Segoe UI" w:cs="Segoe UI"/>
          <w:sz w:val="20"/>
        </w:rPr>
      </w:pPr>
    </w:p>
    <w:p w:rsidR="00A67FA7" w:rsidRDefault="00182EBD">
      <w:pPr>
        <w:rPr>
          <w:rFonts w:ascii="Segoe UI" w:hAnsi="Segoe UI" w:cs="Segoe UI"/>
        </w:rPr>
      </w:pPr>
      <w:r w:rsidRPr="00182EBD">
        <w:rPr>
          <w:rFonts w:ascii="Segoe UI" w:hAnsi="Segoe UI" w:cs="Segoe UI"/>
          <w:noProof/>
          <w:lang w:eastAsia="en-GB"/>
        </w:rPr>
        <w:drawing>
          <wp:inline distT="0" distB="0" distL="0" distR="0">
            <wp:extent cx="3124200" cy="2743200"/>
            <wp:effectExtent l="19050" t="0" r="19050" b="0"/>
            <wp:docPr id="6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Pr="00182EBD">
        <w:rPr>
          <w:noProof/>
          <w:lang w:eastAsia="en-GB"/>
        </w:rPr>
        <w:t xml:space="preserve"> </w:t>
      </w:r>
      <w:r w:rsidRPr="00182EBD">
        <w:rPr>
          <w:rFonts w:ascii="Segoe UI" w:hAnsi="Segoe UI" w:cs="Segoe UI"/>
          <w:noProof/>
          <w:lang w:eastAsia="en-GB"/>
        </w:rPr>
        <w:drawing>
          <wp:inline distT="0" distB="0" distL="0" distR="0">
            <wp:extent cx="3124200" cy="2743200"/>
            <wp:effectExtent l="19050" t="0" r="19050" b="0"/>
            <wp:docPr id="6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7F5F54" w:rsidRDefault="007F5F54" w:rsidP="007F5F54">
      <w:pPr>
        <w:rPr>
          <w:rFonts w:ascii="Segoe UI" w:hAnsi="Segoe UI" w:cs="Segoe UI"/>
          <w:sz w:val="20"/>
        </w:rPr>
      </w:pPr>
    </w:p>
    <w:p w:rsidR="00C13421" w:rsidRDefault="00C13421" w:rsidP="007F5F54">
      <w:pPr>
        <w:rPr>
          <w:rFonts w:ascii="Segoe UI" w:hAnsi="Segoe UI" w:cs="Segoe UI"/>
          <w:sz w:val="20"/>
        </w:rPr>
      </w:pPr>
    </w:p>
    <w:p w:rsidR="007F5F54" w:rsidRDefault="007F5F54" w:rsidP="007F5F5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Car</w:t>
      </w:r>
    </w:p>
    <w:p w:rsidR="007F5F54" w:rsidRDefault="007F5F54" w:rsidP="007F5F54">
      <w:pPr>
        <w:rPr>
          <w:rFonts w:ascii="Segoe UI" w:hAnsi="Segoe UI" w:cs="Segoe UI"/>
          <w:sz w:val="20"/>
        </w:rPr>
      </w:pPr>
    </w:p>
    <w:p w:rsidR="007F5F54" w:rsidRDefault="007F5F54" w:rsidP="007F5F54">
      <w:pPr>
        <w:rPr>
          <w:rFonts w:ascii="Segoe UI" w:hAnsi="Segoe UI" w:cs="Segoe UI"/>
          <w:sz w:val="20"/>
        </w:rPr>
      </w:pPr>
      <w:r w:rsidRPr="007F5F54">
        <w:rPr>
          <w:rFonts w:ascii="Segoe UI" w:hAnsi="Segoe UI" w:cs="Segoe UI"/>
          <w:noProof/>
          <w:sz w:val="20"/>
          <w:lang w:eastAsia="en-GB"/>
        </w:rPr>
        <w:drawing>
          <wp:inline distT="0" distB="0" distL="0" distR="0">
            <wp:extent cx="3124200" cy="2743200"/>
            <wp:effectExtent l="19050" t="0" r="19050" b="0"/>
            <wp:docPr id="6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Pr="007F5F54">
        <w:rPr>
          <w:noProof/>
          <w:lang w:eastAsia="en-GB"/>
        </w:rPr>
        <w:t xml:space="preserve"> </w:t>
      </w:r>
      <w:r w:rsidRPr="007F5F54">
        <w:rPr>
          <w:rFonts w:ascii="Segoe UI" w:hAnsi="Segoe UI" w:cs="Segoe UI"/>
          <w:noProof/>
          <w:sz w:val="20"/>
          <w:lang w:eastAsia="en-GB"/>
        </w:rPr>
        <w:drawing>
          <wp:inline distT="0" distB="0" distL="0" distR="0">
            <wp:extent cx="3124200" cy="2743200"/>
            <wp:effectExtent l="19050" t="0" r="19050" b="0"/>
            <wp:docPr id="6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Public Transport/Walk</w:t>
      </w:r>
    </w:p>
    <w:p w:rsidR="00C027BE" w:rsidRPr="006D6F09" w:rsidRDefault="00C027BE" w:rsidP="00C027BE">
      <w:pPr>
        <w:rPr>
          <w:rFonts w:ascii="Segoe UI" w:hAnsi="Segoe UI" w:cs="Segoe UI"/>
          <w:sz w:val="20"/>
        </w:rPr>
      </w:pPr>
    </w:p>
    <w:p w:rsidR="007D3509" w:rsidRDefault="00C027BE">
      <w:pPr>
        <w:rPr>
          <w:rFonts w:ascii="Segoe UI" w:hAnsi="Segoe UI" w:cs="Segoe UI"/>
        </w:rPr>
      </w:pPr>
      <w:r w:rsidRPr="00C027BE">
        <w:rPr>
          <w:rFonts w:ascii="Segoe UI" w:hAnsi="Segoe UI" w:cs="Segoe UI"/>
          <w:noProof/>
          <w:lang w:eastAsia="en-GB"/>
        </w:rPr>
        <w:drawing>
          <wp:inline distT="0" distB="0" distL="0" distR="0">
            <wp:extent cx="3124200" cy="2743200"/>
            <wp:effectExtent l="19050" t="0" r="19050" b="0"/>
            <wp:docPr id="6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24200" cy="2743200"/>
            <wp:effectExtent l="19050" t="0" r="19050" b="0"/>
            <wp:docPr id="6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C027BE" w:rsidRDefault="00C027BE" w:rsidP="00C027BE">
      <w:pPr>
        <w:rPr>
          <w:rFonts w:ascii="Segoe UI" w:hAnsi="Segoe UI" w:cs="Segoe UI"/>
          <w:sz w:val="20"/>
        </w:rPr>
      </w:pPr>
    </w:p>
    <w:p w:rsidR="00C13421" w:rsidRDefault="00C13421" w:rsidP="00C027BE">
      <w:pPr>
        <w:rPr>
          <w:rFonts w:ascii="Segoe UI" w:hAnsi="Segoe UI" w:cs="Segoe UI"/>
          <w:sz w:val="20"/>
        </w:rPr>
      </w:pPr>
    </w:p>
    <w:p w:rsidR="00C027BE" w:rsidRDefault="00C027BE" w:rsidP="00C027BE">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Cycle</w:t>
      </w:r>
    </w:p>
    <w:p w:rsidR="00C027BE" w:rsidRPr="006D6F09" w:rsidRDefault="00C027BE" w:rsidP="00C027BE">
      <w:pPr>
        <w:rPr>
          <w:rFonts w:ascii="Segoe UI" w:hAnsi="Segoe UI" w:cs="Segoe UI"/>
          <w:sz w:val="20"/>
        </w:rPr>
      </w:pPr>
    </w:p>
    <w:p w:rsidR="002408BD" w:rsidRDefault="00C027BE">
      <w:pPr>
        <w:rPr>
          <w:noProof/>
          <w:lang w:eastAsia="en-GB"/>
        </w:rPr>
      </w:pPr>
      <w:r w:rsidRPr="00C027BE">
        <w:rPr>
          <w:rFonts w:ascii="Segoe UI" w:hAnsi="Segoe UI" w:cs="Segoe UI"/>
          <w:noProof/>
          <w:lang w:eastAsia="en-GB"/>
        </w:rPr>
        <w:drawing>
          <wp:inline distT="0" distB="0" distL="0" distR="0">
            <wp:extent cx="3190875" cy="2743200"/>
            <wp:effectExtent l="19050" t="0" r="9525" b="0"/>
            <wp:docPr id="7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90875" cy="2743200"/>
            <wp:effectExtent l="19050" t="0" r="9525" b="0"/>
            <wp:docPr id="7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Car</w:t>
      </w:r>
    </w:p>
    <w:p w:rsidR="00C027BE" w:rsidRDefault="00C027BE" w:rsidP="00C027BE">
      <w:pPr>
        <w:rPr>
          <w:rFonts w:ascii="Segoe UI" w:hAnsi="Segoe UI" w:cs="Segoe UI"/>
          <w:sz w:val="20"/>
        </w:rPr>
      </w:pPr>
    </w:p>
    <w:p w:rsidR="00C027BE" w:rsidRDefault="00C027BE" w:rsidP="00C027BE">
      <w:pPr>
        <w:rPr>
          <w:noProof/>
          <w:lang w:eastAsia="en-GB"/>
        </w:rPr>
      </w:pPr>
      <w:r w:rsidRPr="00C027BE">
        <w:rPr>
          <w:rFonts w:ascii="Segoe UI" w:hAnsi="Segoe UI" w:cs="Segoe UI"/>
          <w:noProof/>
          <w:sz w:val="20"/>
          <w:lang w:eastAsia="en-GB"/>
        </w:rPr>
        <w:drawing>
          <wp:inline distT="0" distB="0" distL="0" distR="0">
            <wp:extent cx="3190875" cy="2743200"/>
            <wp:effectExtent l="19050" t="0" r="9525" b="0"/>
            <wp:docPr id="7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sidRPr="00C027BE">
        <w:rPr>
          <w:noProof/>
          <w:lang w:eastAsia="en-GB"/>
        </w:rPr>
        <w:t xml:space="preserve"> </w:t>
      </w:r>
      <w:r w:rsidRPr="00C027BE">
        <w:rPr>
          <w:rFonts w:ascii="Segoe UI" w:hAnsi="Segoe UI" w:cs="Segoe UI"/>
          <w:noProof/>
          <w:sz w:val="20"/>
          <w:lang w:eastAsia="en-GB"/>
        </w:rPr>
        <w:drawing>
          <wp:inline distT="0" distB="0" distL="0" distR="0">
            <wp:extent cx="3190875" cy="2743200"/>
            <wp:effectExtent l="19050" t="0" r="9525" b="0"/>
            <wp:docPr id="7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077094" w:rsidRDefault="00077094" w:rsidP="00077094">
      <w:pPr>
        <w:rPr>
          <w:rFonts w:ascii="Segoe UI" w:hAnsi="Segoe UI" w:cs="Segoe UI"/>
          <w:sz w:val="20"/>
        </w:rPr>
      </w:pPr>
    </w:p>
    <w:p w:rsidR="00A55118" w:rsidRDefault="00A55118" w:rsidP="00077094">
      <w:pPr>
        <w:rPr>
          <w:rFonts w:ascii="Segoe UI" w:hAnsi="Segoe UI" w:cs="Segoe UI"/>
          <w:sz w:val="20"/>
        </w:rPr>
      </w:pPr>
    </w:p>
    <w:p w:rsidR="00A55118" w:rsidRDefault="00A55118">
      <w:pPr>
        <w:rPr>
          <w:rFonts w:ascii="Segoe UI" w:hAnsi="Segoe UI" w:cs="Segoe UI"/>
        </w:rPr>
      </w:pPr>
      <w:r>
        <w:rPr>
          <w:rFonts w:ascii="Segoe UI" w:hAnsi="Segoe UI" w:cs="Segoe UI"/>
        </w:rPr>
        <w:br w:type="page"/>
      </w:r>
    </w:p>
    <w:p w:rsidR="008D66C0" w:rsidRPr="00F624C0" w:rsidRDefault="00214346">
      <w:pPr>
        <w:rPr>
          <w:rFonts w:ascii="Segoe UI" w:hAnsi="Segoe UI" w:cs="Segoe UI"/>
          <w:b/>
          <w:u w:val="single"/>
        </w:rPr>
      </w:pPr>
      <w:bookmarkStart w:id="1" w:name="Motor"/>
      <w:bookmarkEnd w:id="1"/>
      <w:r>
        <w:rPr>
          <w:rFonts w:ascii="Segoe UI" w:hAnsi="Segoe UI" w:cs="Segoe UI"/>
          <w:b/>
          <w:u w:val="single"/>
        </w:rPr>
        <w:lastRenderedPageBreak/>
        <w:t>Motor vehicle traffic</w:t>
      </w:r>
    </w:p>
    <w:p w:rsidR="00F624C0" w:rsidRDefault="00F624C0">
      <w:pPr>
        <w:rPr>
          <w:rFonts w:ascii="Segoe UI" w:hAnsi="Segoe UI" w:cs="Segoe UI"/>
          <w:sz w:val="20"/>
        </w:rPr>
      </w:pPr>
    </w:p>
    <w:p w:rsidR="00A55118" w:rsidRDefault="00A55118">
      <w:pPr>
        <w:rPr>
          <w:rFonts w:ascii="Segoe UI" w:hAnsi="Segoe UI" w:cs="Segoe UI"/>
          <w:sz w:val="20"/>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57557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58218</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59684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60993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62470</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120136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119953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122940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124353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126852</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136667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137449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141094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144150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147373</w:t>
            </w:r>
          </w:p>
        </w:tc>
      </w:tr>
      <w:tr w:rsidR="00484359"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484359" w:rsidRDefault="00484359" w:rsidP="00484359">
            <w:pPr>
              <w:spacing w:after="100" w:afterAutospacing="1"/>
              <w:rPr>
                <w:rFonts w:ascii="Tahoma" w:hAnsi="Tahoma" w:cs="Tahoma"/>
                <w:color w:val="000000"/>
                <w:sz w:val="16"/>
                <w:szCs w:val="16"/>
              </w:rPr>
            </w:pPr>
            <w:r>
              <w:rPr>
                <w:rFonts w:ascii="Tahoma" w:hAnsi="Tahoma" w:cs="Tahoma"/>
                <w:color w:val="000000"/>
                <w:sz w:val="16"/>
                <w:szCs w:val="16"/>
              </w:rPr>
              <w:t>Essex</w:t>
            </w:r>
          </w:p>
        </w:tc>
        <w:tc>
          <w:tcPr>
            <w:tcW w:w="1200" w:type="dxa"/>
            <w:tcBorders>
              <w:top w:val="nil"/>
              <w:left w:val="nil"/>
              <w:bottom w:val="single" w:sz="4" w:space="0" w:color="auto"/>
              <w:right w:val="single" w:sz="4" w:space="0" w:color="auto"/>
            </w:tcBorders>
            <w:shd w:val="clear" w:color="auto" w:fill="auto"/>
            <w:noWrap/>
            <w:vAlign w:val="bottom"/>
            <w:hideMark/>
          </w:tcPr>
          <w:p w:rsidR="00484359" w:rsidRDefault="00484359" w:rsidP="00484359">
            <w:pPr>
              <w:spacing w:after="100" w:afterAutospacing="1"/>
              <w:jc w:val="right"/>
              <w:rPr>
                <w:rFonts w:ascii="Tahoma" w:hAnsi="Tahoma" w:cs="Tahoma"/>
                <w:color w:val="000000"/>
                <w:sz w:val="16"/>
                <w:szCs w:val="16"/>
              </w:rPr>
            </w:pPr>
            <w:r>
              <w:rPr>
                <w:rFonts w:ascii="Tahoma" w:hAnsi="Tahoma" w:cs="Tahoma"/>
                <w:color w:val="000000"/>
                <w:sz w:val="16"/>
                <w:szCs w:val="16"/>
              </w:rPr>
              <w:t>8489</w:t>
            </w:r>
          </w:p>
        </w:tc>
        <w:tc>
          <w:tcPr>
            <w:tcW w:w="1200" w:type="dxa"/>
            <w:tcBorders>
              <w:top w:val="nil"/>
              <w:left w:val="nil"/>
              <w:bottom w:val="single" w:sz="4" w:space="0" w:color="auto"/>
              <w:right w:val="single" w:sz="4" w:space="0" w:color="auto"/>
            </w:tcBorders>
            <w:shd w:val="clear" w:color="auto" w:fill="auto"/>
            <w:noWrap/>
            <w:vAlign w:val="bottom"/>
            <w:hideMark/>
          </w:tcPr>
          <w:p w:rsidR="00484359" w:rsidRDefault="00484359" w:rsidP="00484359">
            <w:pPr>
              <w:spacing w:after="100" w:afterAutospacing="1"/>
              <w:jc w:val="right"/>
              <w:rPr>
                <w:rFonts w:ascii="Tahoma" w:hAnsi="Tahoma" w:cs="Tahoma"/>
                <w:color w:val="000000"/>
                <w:sz w:val="16"/>
                <w:szCs w:val="16"/>
              </w:rPr>
            </w:pPr>
            <w:r>
              <w:rPr>
                <w:rFonts w:ascii="Tahoma" w:hAnsi="Tahoma" w:cs="Tahoma"/>
                <w:color w:val="000000"/>
                <w:sz w:val="16"/>
                <w:szCs w:val="16"/>
              </w:rPr>
              <w:t>8525</w:t>
            </w:r>
          </w:p>
        </w:tc>
        <w:tc>
          <w:tcPr>
            <w:tcW w:w="1200" w:type="dxa"/>
            <w:tcBorders>
              <w:top w:val="nil"/>
              <w:left w:val="nil"/>
              <w:bottom w:val="single" w:sz="4" w:space="0" w:color="auto"/>
              <w:right w:val="single" w:sz="4" w:space="0" w:color="auto"/>
            </w:tcBorders>
            <w:shd w:val="clear" w:color="auto" w:fill="auto"/>
            <w:noWrap/>
            <w:vAlign w:val="bottom"/>
            <w:hideMark/>
          </w:tcPr>
          <w:p w:rsidR="00484359" w:rsidRDefault="00484359" w:rsidP="00484359">
            <w:pPr>
              <w:spacing w:after="100" w:afterAutospacing="1"/>
              <w:jc w:val="right"/>
              <w:rPr>
                <w:rFonts w:ascii="Tahoma" w:hAnsi="Tahoma" w:cs="Tahoma"/>
                <w:color w:val="000000"/>
                <w:sz w:val="16"/>
                <w:szCs w:val="16"/>
              </w:rPr>
            </w:pPr>
            <w:r>
              <w:rPr>
                <w:rFonts w:ascii="Tahoma" w:hAnsi="Tahoma" w:cs="Tahoma"/>
                <w:color w:val="000000"/>
                <w:sz w:val="16"/>
                <w:szCs w:val="16"/>
              </w:rPr>
              <w:t>8860</w:t>
            </w:r>
          </w:p>
        </w:tc>
        <w:tc>
          <w:tcPr>
            <w:tcW w:w="1200" w:type="dxa"/>
            <w:tcBorders>
              <w:top w:val="nil"/>
              <w:left w:val="nil"/>
              <w:bottom w:val="single" w:sz="4" w:space="0" w:color="auto"/>
              <w:right w:val="single" w:sz="4" w:space="0" w:color="auto"/>
            </w:tcBorders>
            <w:shd w:val="clear" w:color="auto" w:fill="auto"/>
            <w:noWrap/>
            <w:vAlign w:val="bottom"/>
            <w:hideMark/>
          </w:tcPr>
          <w:p w:rsidR="00484359" w:rsidRDefault="00484359" w:rsidP="00484359">
            <w:pPr>
              <w:spacing w:after="100" w:afterAutospacing="1"/>
              <w:jc w:val="right"/>
              <w:rPr>
                <w:rFonts w:ascii="Tahoma" w:hAnsi="Tahoma" w:cs="Tahoma"/>
                <w:color w:val="000000"/>
                <w:sz w:val="16"/>
                <w:szCs w:val="16"/>
              </w:rPr>
            </w:pPr>
            <w:r>
              <w:rPr>
                <w:rFonts w:ascii="Tahoma" w:hAnsi="Tahoma" w:cs="Tahoma"/>
                <w:color w:val="000000"/>
                <w:sz w:val="16"/>
                <w:szCs w:val="16"/>
              </w:rPr>
              <w:t>9043</w:t>
            </w:r>
          </w:p>
        </w:tc>
        <w:tc>
          <w:tcPr>
            <w:tcW w:w="1200" w:type="dxa"/>
            <w:tcBorders>
              <w:top w:val="nil"/>
              <w:left w:val="nil"/>
              <w:bottom w:val="single" w:sz="4" w:space="0" w:color="auto"/>
              <w:right w:val="single" w:sz="4" w:space="0" w:color="auto"/>
            </w:tcBorders>
            <w:shd w:val="clear" w:color="auto" w:fill="auto"/>
            <w:noWrap/>
            <w:vAlign w:val="bottom"/>
            <w:hideMark/>
          </w:tcPr>
          <w:p w:rsidR="00484359" w:rsidRDefault="00484359" w:rsidP="00484359">
            <w:pPr>
              <w:spacing w:after="100" w:afterAutospacing="1"/>
              <w:jc w:val="right"/>
              <w:rPr>
                <w:rFonts w:ascii="Tahoma" w:hAnsi="Tahoma" w:cs="Tahoma"/>
                <w:color w:val="000000"/>
                <w:sz w:val="16"/>
                <w:szCs w:val="16"/>
              </w:rPr>
            </w:pPr>
            <w:r>
              <w:rPr>
                <w:rFonts w:ascii="Tahoma" w:hAnsi="Tahoma" w:cs="Tahoma"/>
                <w:color w:val="000000"/>
                <w:sz w:val="16"/>
                <w:szCs w:val="16"/>
              </w:rPr>
              <w:t>9303</w:t>
            </w:r>
          </w:p>
        </w:tc>
      </w:tr>
    </w:tbl>
    <w:p w:rsidR="00A55118" w:rsidRDefault="00A55118">
      <w:pPr>
        <w:rPr>
          <w:rFonts w:ascii="Segoe UI" w:hAnsi="Segoe UI" w:cs="Segoe UI"/>
          <w:sz w:val="20"/>
        </w:rPr>
      </w:pPr>
    </w:p>
    <w:p w:rsid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A55118" w:rsidRDefault="00A55118">
      <w:pPr>
        <w:rPr>
          <w:rFonts w:ascii="Segoe UI" w:hAnsi="Segoe UI" w:cs="Segoe UI"/>
          <w:sz w:val="20"/>
        </w:rPr>
      </w:pPr>
    </w:p>
    <w:p w:rsidR="00A55118" w:rsidRP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445CF6" w:rsidRDefault="00445CF6">
      <w:pPr>
        <w:rPr>
          <w:rFonts w:ascii="Segoe UI" w:hAnsi="Segoe UI" w:cs="Segoe UI"/>
        </w:rPr>
      </w:pPr>
    </w:p>
    <w:p w:rsidR="001F4A28" w:rsidRDefault="001F4A28">
      <w:pPr>
        <w:rPr>
          <w:rFonts w:ascii="Segoe UI" w:hAnsi="Segoe UI" w:cs="Segoe UI"/>
        </w:rPr>
      </w:pPr>
    </w:p>
    <w:p w:rsidR="00616D21" w:rsidRDefault="00616D21">
      <w:pPr>
        <w:rPr>
          <w:rFonts w:ascii="Segoe UI" w:hAnsi="Segoe UI" w:cs="Segoe UI"/>
        </w:rPr>
      </w:pPr>
    </w:p>
    <w:p w:rsidR="00A55118" w:rsidRDefault="00A55118">
      <w:pPr>
        <w:rPr>
          <w:rFonts w:ascii="Segoe UI" w:hAnsi="Segoe UI" w:cs="Segoe UI"/>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Car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44873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45190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46126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46785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47789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96721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96181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97976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98735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100609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108056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108103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110362</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112089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114258</w:t>
            </w:r>
          </w:p>
        </w:tc>
      </w:tr>
      <w:tr w:rsidR="00484359"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484359" w:rsidRDefault="00484359" w:rsidP="00484359">
            <w:pPr>
              <w:spacing w:after="100" w:afterAutospacing="1"/>
              <w:rPr>
                <w:rFonts w:ascii="Tahoma" w:hAnsi="Tahoma" w:cs="Tahoma"/>
                <w:color w:val="000000"/>
                <w:sz w:val="16"/>
                <w:szCs w:val="16"/>
              </w:rPr>
            </w:pPr>
            <w:r>
              <w:rPr>
                <w:rFonts w:ascii="Tahoma" w:hAnsi="Tahoma" w:cs="Tahoma"/>
                <w:color w:val="000000"/>
                <w:sz w:val="16"/>
                <w:szCs w:val="16"/>
              </w:rPr>
              <w:t>Essex</w:t>
            </w:r>
          </w:p>
        </w:tc>
        <w:tc>
          <w:tcPr>
            <w:tcW w:w="1200" w:type="dxa"/>
            <w:tcBorders>
              <w:top w:val="nil"/>
              <w:left w:val="nil"/>
              <w:bottom w:val="single" w:sz="4" w:space="0" w:color="auto"/>
              <w:right w:val="single" w:sz="4" w:space="0" w:color="auto"/>
            </w:tcBorders>
            <w:shd w:val="clear" w:color="auto" w:fill="auto"/>
            <w:noWrap/>
            <w:vAlign w:val="bottom"/>
            <w:hideMark/>
          </w:tcPr>
          <w:p w:rsidR="00484359" w:rsidRDefault="00484359" w:rsidP="00484359">
            <w:pPr>
              <w:spacing w:after="100" w:afterAutospacing="1"/>
              <w:jc w:val="right"/>
              <w:rPr>
                <w:rFonts w:ascii="Tahoma" w:hAnsi="Tahoma" w:cs="Tahoma"/>
                <w:color w:val="000000"/>
                <w:sz w:val="16"/>
                <w:szCs w:val="16"/>
              </w:rPr>
            </w:pPr>
            <w:r>
              <w:rPr>
                <w:rFonts w:ascii="Tahoma" w:hAnsi="Tahoma" w:cs="Tahoma"/>
                <w:color w:val="000000"/>
                <w:sz w:val="16"/>
                <w:szCs w:val="16"/>
              </w:rPr>
              <w:t>6693</w:t>
            </w:r>
          </w:p>
        </w:tc>
        <w:tc>
          <w:tcPr>
            <w:tcW w:w="1200" w:type="dxa"/>
            <w:tcBorders>
              <w:top w:val="nil"/>
              <w:left w:val="nil"/>
              <w:bottom w:val="single" w:sz="4" w:space="0" w:color="auto"/>
              <w:right w:val="single" w:sz="4" w:space="0" w:color="auto"/>
            </w:tcBorders>
            <w:shd w:val="clear" w:color="auto" w:fill="auto"/>
            <w:noWrap/>
            <w:vAlign w:val="bottom"/>
            <w:hideMark/>
          </w:tcPr>
          <w:p w:rsidR="00484359" w:rsidRDefault="00484359" w:rsidP="00484359">
            <w:pPr>
              <w:spacing w:after="100" w:afterAutospacing="1"/>
              <w:jc w:val="right"/>
              <w:rPr>
                <w:rFonts w:ascii="Tahoma" w:hAnsi="Tahoma" w:cs="Tahoma"/>
                <w:color w:val="000000"/>
                <w:sz w:val="16"/>
                <w:szCs w:val="16"/>
              </w:rPr>
            </w:pPr>
            <w:r>
              <w:rPr>
                <w:rFonts w:ascii="Tahoma" w:hAnsi="Tahoma" w:cs="Tahoma"/>
                <w:color w:val="000000"/>
                <w:sz w:val="16"/>
                <w:szCs w:val="16"/>
              </w:rPr>
              <w:t>6689</w:t>
            </w:r>
          </w:p>
        </w:tc>
        <w:tc>
          <w:tcPr>
            <w:tcW w:w="1200" w:type="dxa"/>
            <w:tcBorders>
              <w:top w:val="nil"/>
              <w:left w:val="nil"/>
              <w:bottom w:val="single" w:sz="4" w:space="0" w:color="auto"/>
              <w:right w:val="single" w:sz="4" w:space="0" w:color="auto"/>
            </w:tcBorders>
            <w:shd w:val="clear" w:color="auto" w:fill="auto"/>
            <w:noWrap/>
            <w:vAlign w:val="bottom"/>
            <w:hideMark/>
          </w:tcPr>
          <w:p w:rsidR="00484359" w:rsidRDefault="00484359" w:rsidP="00484359">
            <w:pPr>
              <w:spacing w:after="100" w:afterAutospacing="1"/>
              <w:jc w:val="right"/>
              <w:rPr>
                <w:rFonts w:ascii="Tahoma" w:hAnsi="Tahoma" w:cs="Tahoma"/>
                <w:color w:val="000000"/>
                <w:sz w:val="16"/>
                <w:szCs w:val="16"/>
              </w:rPr>
            </w:pPr>
            <w:r>
              <w:rPr>
                <w:rFonts w:ascii="Tahoma" w:hAnsi="Tahoma" w:cs="Tahoma"/>
                <w:color w:val="000000"/>
                <w:sz w:val="16"/>
                <w:szCs w:val="16"/>
              </w:rPr>
              <w:t>6893</w:t>
            </w:r>
          </w:p>
        </w:tc>
        <w:tc>
          <w:tcPr>
            <w:tcW w:w="1200" w:type="dxa"/>
            <w:tcBorders>
              <w:top w:val="nil"/>
              <w:left w:val="nil"/>
              <w:bottom w:val="single" w:sz="4" w:space="0" w:color="auto"/>
              <w:right w:val="single" w:sz="4" w:space="0" w:color="auto"/>
            </w:tcBorders>
            <w:shd w:val="clear" w:color="auto" w:fill="auto"/>
            <w:noWrap/>
            <w:vAlign w:val="bottom"/>
            <w:hideMark/>
          </w:tcPr>
          <w:p w:rsidR="00484359" w:rsidRDefault="00484359" w:rsidP="00484359">
            <w:pPr>
              <w:spacing w:after="100" w:afterAutospacing="1"/>
              <w:jc w:val="right"/>
              <w:rPr>
                <w:rFonts w:ascii="Tahoma" w:hAnsi="Tahoma" w:cs="Tahoma"/>
                <w:color w:val="000000"/>
                <w:sz w:val="16"/>
                <w:szCs w:val="16"/>
              </w:rPr>
            </w:pPr>
            <w:r>
              <w:rPr>
                <w:rFonts w:ascii="Tahoma" w:hAnsi="Tahoma" w:cs="Tahoma"/>
                <w:color w:val="000000"/>
                <w:sz w:val="16"/>
                <w:szCs w:val="16"/>
              </w:rPr>
              <w:t>6991</w:t>
            </w:r>
          </w:p>
        </w:tc>
        <w:tc>
          <w:tcPr>
            <w:tcW w:w="1200" w:type="dxa"/>
            <w:tcBorders>
              <w:top w:val="nil"/>
              <w:left w:val="nil"/>
              <w:bottom w:val="single" w:sz="4" w:space="0" w:color="auto"/>
              <w:right w:val="single" w:sz="4" w:space="0" w:color="auto"/>
            </w:tcBorders>
            <w:shd w:val="clear" w:color="auto" w:fill="auto"/>
            <w:noWrap/>
            <w:vAlign w:val="bottom"/>
            <w:hideMark/>
          </w:tcPr>
          <w:p w:rsidR="00484359" w:rsidRDefault="00484359" w:rsidP="00484359">
            <w:pPr>
              <w:spacing w:after="100" w:afterAutospacing="1"/>
              <w:jc w:val="right"/>
              <w:rPr>
                <w:rFonts w:ascii="Tahoma" w:hAnsi="Tahoma" w:cs="Tahoma"/>
                <w:color w:val="000000"/>
                <w:sz w:val="16"/>
                <w:szCs w:val="16"/>
              </w:rPr>
            </w:pPr>
            <w:r>
              <w:rPr>
                <w:rFonts w:ascii="Tahoma" w:hAnsi="Tahoma" w:cs="Tahoma"/>
                <w:color w:val="000000"/>
                <w:sz w:val="16"/>
                <w:szCs w:val="16"/>
              </w:rPr>
              <w:t>7169</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A55118" w:rsidRDefault="00A55118">
      <w:pPr>
        <w:rPr>
          <w:rFonts w:ascii="Segoe UI" w:hAnsi="Segoe UI" w:cs="Segoe UI"/>
        </w:rPr>
      </w:pPr>
    </w:p>
    <w:p w:rsidR="00445CF6"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A55118" w:rsidRDefault="00A55118">
      <w:pPr>
        <w:rPr>
          <w:rFonts w:ascii="Segoe UI" w:hAnsi="Segoe UI" w:cs="Segoe UI"/>
        </w:rPr>
      </w:pPr>
    </w:p>
    <w:p w:rsidR="00A55118" w:rsidRDefault="00A55118">
      <w:pPr>
        <w:rPr>
          <w:rFonts w:ascii="Segoe UI" w:hAnsi="Segoe UI" w:cs="Segoe UI"/>
        </w:rPr>
      </w:pPr>
      <w:r>
        <w:rPr>
          <w:rFonts w:ascii="Segoe UI" w:hAnsi="Segoe UI" w:cs="Segoe UI"/>
        </w:rPr>
        <w:br w:type="page"/>
      </w:r>
    </w:p>
    <w:tbl>
      <w:tblPr>
        <w:tblW w:w="9365" w:type="dxa"/>
        <w:tblInd w:w="108" w:type="dxa"/>
        <w:tblLook w:val="04A0"/>
      </w:tblPr>
      <w:tblGrid>
        <w:gridCol w:w="4095"/>
        <w:gridCol w:w="1054"/>
        <w:gridCol w:w="1054"/>
        <w:gridCol w:w="1054"/>
        <w:gridCol w:w="1054"/>
        <w:gridCol w:w="1054"/>
      </w:tblGrid>
      <w:tr w:rsidR="00A55118" w:rsidRPr="00A55118" w:rsidTr="00A55118">
        <w:trPr>
          <w:trHeight w:val="300"/>
        </w:trPr>
        <w:tc>
          <w:tcPr>
            <w:tcW w:w="4095"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527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40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 excluding trunk roads</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39056</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39428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40660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41371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42317</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88003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87561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89587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90148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91772</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84303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84677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87400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88865</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90834</w:t>
            </w:r>
          </w:p>
        </w:tc>
      </w:tr>
      <w:tr w:rsidR="00484359"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484359" w:rsidRDefault="00484359" w:rsidP="00484359">
            <w:pPr>
              <w:spacing w:after="100" w:afterAutospacing="1"/>
              <w:rPr>
                <w:rFonts w:ascii="Tahoma" w:hAnsi="Tahoma" w:cs="Tahoma"/>
                <w:color w:val="000000"/>
                <w:sz w:val="16"/>
                <w:szCs w:val="16"/>
              </w:rPr>
            </w:pPr>
            <w:r>
              <w:rPr>
                <w:rFonts w:ascii="Tahoma" w:hAnsi="Tahoma" w:cs="Tahoma"/>
                <w:color w:val="000000"/>
                <w:sz w:val="16"/>
                <w:szCs w:val="16"/>
              </w:rPr>
              <w:t>Essex</w:t>
            </w:r>
          </w:p>
        </w:tc>
        <w:tc>
          <w:tcPr>
            <w:tcW w:w="1054" w:type="dxa"/>
            <w:tcBorders>
              <w:top w:val="nil"/>
              <w:left w:val="nil"/>
              <w:bottom w:val="single" w:sz="4" w:space="0" w:color="auto"/>
              <w:right w:val="single" w:sz="4" w:space="0" w:color="auto"/>
            </w:tcBorders>
            <w:shd w:val="clear" w:color="auto" w:fill="auto"/>
            <w:noWrap/>
            <w:vAlign w:val="bottom"/>
            <w:hideMark/>
          </w:tcPr>
          <w:p w:rsidR="00484359" w:rsidRDefault="00484359" w:rsidP="00484359">
            <w:pPr>
              <w:spacing w:after="100" w:afterAutospacing="1"/>
              <w:jc w:val="right"/>
              <w:rPr>
                <w:rFonts w:ascii="Tahoma" w:hAnsi="Tahoma" w:cs="Tahoma"/>
                <w:color w:val="000000"/>
                <w:sz w:val="16"/>
                <w:szCs w:val="16"/>
              </w:rPr>
            </w:pPr>
            <w:r>
              <w:rPr>
                <w:rFonts w:ascii="Tahoma" w:hAnsi="Tahoma" w:cs="Tahoma"/>
                <w:color w:val="000000"/>
                <w:sz w:val="16"/>
                <w:szCs w:val="16"/>
              </w:rPr>
              <w:t>5480</w:t>
            </w:r>
          </w:p>
        </w:tc>
        <w:tc>
          <w:tcPr>
            <w:tcW w:w="1054" w:type="dxa"/>
            <w:tcBorders>
              <w:top w:val="nil"/>
              <w:left w:val="nil"/>
              <w:bottom w:val="single" w:sz="4" w:space="0" w:color="auto"/>
              <w:right w:val="single" w:sz="4" w:space="0" w:color="auto"/>
            </w:tcBorders>
            <w:shd w:val="clear" w:color="auto" w:fill="auto"/>
            <w:noWrap/>
            <w:vAlign w:val="bottom"/>
            <w:hideMark/>
          </w:tcPr>
          <w:p w:rsidR="00484359" w:rsidRDefault="00484359" w:rsidP="00484359">
            <w:pPr>
              <w:spacing w:after="100" w:afterAutospacing="1"/>
              <w:jc w:val="right"/>
              <w:rPr>
                <w:rFonts w:ascii="Tahoma" w:hAnsi="Tahoma" w:cs="Tahoma"/>
                <w:color w:val="000000"/>
                <w:sz w:val="16"/>
                <w:szCs w:val="16"/>
              </w:rPr>
            </w:pPr>
            <w:r>
              <w:rPr>
                <w:rFonts w:ascii="Tahoma" w:hAnsi="Tahoma" w:cs="Tahoma"/>
                <w:color w:val="000000"/>
                <w:sz w:val="16"/>
                <w:szCs w:val="16"/>
              </w:rPr>
              <w:t>5506</w:t>
            </w:r>
          </w:p>
        </w:tc>
        <w:tc>
          <w:tcPr>
            <w:tcW w:w="1054" w:type="dxa"/>
            <w:tcBorders>
              <w:top w:val="nil"/>
              <w:left w:val="nil"/>
              <w:bottom w:val="single" w:sz="4" w:space="0" w:color="auto"/>
              <w:right w:val="single" w:sz="4" w:space="0" w:color="auto"/>
            </w:tcBorders>
            <w:shd w:val="clear" w:color="auto" w:fill="auto"/>
            <w:noWrap/>
            <w:vAlign w:val="bottom"/>
            <w:hideMark/>
          </w:tcPr>
          <w:p w:rsidR="00484359" w:rsidRDefault="00484359" w:rsidP="00484359">
            <w:pPr>
              <w:spacing w:after="100" w:afterAutospacing="1"/>
              <w:jc w:val="right"/>
              <w:rPr>
                <w:rFonts w:ascii="Tahoma" w:hAnsi="Tahoma" w:cs="Tahoma"/>
                <w:color w:val="000000"/>
                <w:sz w:val="16"/>
                <w:szCs w:val="16"/>
              </w:rPr>
            </w:pPr>
            <w:r>
              <w:rPr>
                <w:rFonts w:ascii="Tahoma" w:hAnsi="Tahoma" w:cs="Tahoma"/>
                <w:color w:val="000000"/>
                <w:sz w:val="16"/>
                <w:szCs w:val="16"/>
              </w:rPr>
              <w:t>5735</w:t>
            </w:r>
          </w:p>
        </w:tc>
        <w:tc>
          <w:tcPr>
            <w:tcW w:w="1054" w:type="dxa"/>
            <w:tcBorders>
              <w:top w:val="nil"/>
              <w:left w:val="nil"/>
              <w:bottom w:val="single" w:sz="4" w:space="0" w:color="auto"/>
              <w:right w:val="single" w:sz="4" w:space="0" w:color="auto"/>
            </w:tcBorders>
            <w:shd w:val="clear" w:color="auto" w:fill="auto"/>
            <w:noWrap/>
            <w:vAlign w:val="bottom"/>
            <w:hideMark/>
          </w:tcPr>
          <w:p w:rsidR="00484359" w:rsidRDefault="00484359" w:rsidP="00484359">
            <w:pPr>
              <w:spacing w:after="100" w:afterAutospacing="1"/>
              <w:jc w:val="right"/>
              <w:rPr>
                <w:rFonts w:ascii="Tahoma" w:hAnsi="Tahoma" w:cs="Tahoma"/>
                <w:color w:val="000000"/>
                <w:sz w:val="16"/>
                <w:szCs w:val="16"/>
              </w:rPr>
            </w:pPr>
            <w:r>
              <w:rPr>
                <w:rFonts w:ascii="Tahoma" w:hAnsi="Tahoma" w:cs="Tahoma"/>
                <w:color w:val="000000"/>
                <w:sz w:val="16"/>
                <w:szCs w:val="16"/>
              </w:rPr>
              <w:t>5796</w:t>
            </w:r>
          </w:p>
        </w:tc>
        <w:tc>
          <w:tcPr>
            <w:tcW w:w="1054" w:type="dxa"/>
            <w:tcBorders>
              <w:top w:val="nil"/>
              <w:left w:val="nil"/>
              <w:bottom w:val="single" w:sz="4" w:space="0" w:color="auto"/>
              <w:right w:val="single" w:sz="4" w:space="0" w:color="auto"/>
            </w:tcBorders>
            <w:shd w:val="clear" w:color="auto" w:fill="auto"/>
            <w:noWrap/>
            <w:vAlign w:val="bottom"/>
            <w:hideMark/>
          </w:tcPr>
          <w:p w:rsidR="00484359" w:rsidRDefault="00484359" w:rsidP="00484359">
            <w:pPr>
              <w:spacing w:after="100" w:afterAutospacing="1"/>
              <w:jc w:val="right"/>
              <w:rPr>
                <w:rFonts w:ascii="Tahoma" w:hAnsi="Tahoma" w:cs="Tahoma"/>
                <w:color w:val="000000"/>
                <w:sz w:val="16"/>
                <w:szCs w:val="16"/>
              </w:rPr>
            </w:pPr>
            <w:r>
              <w:rPr>
                <w:rFonts w:ascii="Tahoma" w:hAnsi="Tahoma" w:cs="Tahoma"/>
                <w:color w:val="000000"/>
                <w:sz w:val="16"/>
                <w:szCs w:val="16"/>
              </w:rPr>
              <w:t>5948</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5" name="Chart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616D21" w:rsidRDefault="00616D21">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EB236D" w:rsidRDefault="00EB236D">
      <w:pPr>
        <w:rPr>
          <w:rFonts w:ascii="Segoe UI" w:hAnsi="Segoe UI" w:cs="Segoe UI"/>
        </w:rPr>
      </w:pPr>
    </w:p>
    <w:p w:rsidR="00630C41" w:rsidRDefault="00630C41">
      <w:pPr>
        <w:rPr>
          <w:rFonts w:ascii="Segoe UI" w:hAnsi="Segoe UI" w:cs="Segoe UI"/>
        </w:rPr>
      </w:pPr>
      <w:r>
        <w:rPr>
          <w:rFonts w:ascii="Segoe UI" w:hAnsi="Segoe UI" w:cs="Segoe UI"/>
        </w:rPr>
        <w:br w:type="page"/>
      </w:r>
    </w:p>
    <w:p w:rsidR="00EB236D" w:rsidRDefault="00630C41">
      <w:pPr>
        <w:rPr>
          <w:rFonts w:ascii="Segoe UI" w:hAnsi="Segoe UI" w:cs="Segoe UI"/>
        </w:rPr>
      </w:pPr>
      <w:r w:rsidRPr="00630C41">
        <w:rPr>
          <w:rFonts w:ascii="Segoe UI" w:hAnsi="Segoe UI" w:cs="Segoe UI"/>
          <w:noProof/>
          <w:lang w:eastAsia="en-GB"/>
        </w:rPr>
        <w:lastRenderedPageBreak/>
        <w:drawing>
          <wp:inline distT="0" distB="0" distL="0" distR="0">
            <wp:extent cx="5753100" cy="2743200"/>
            <wp:effectExtent l="19050" t="0" r="19050" b="0"/>
            <wp:docPr id="9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C13421" w:rsidRDefault="00C13421" w:rsidP="009504FF">
      <w:pPr>
        <w:rPr>
          <w:rFonts w:ascii="Segoe UI" w:hAnsi="Segoe UI" w:cs="Segoe UI"/>
          <w:i/>
          <w:sz w:val="18"/>
        </w:rPr>
      </w:pPr>
    </w:p>
    <w:p w:rsidR="009504FF" w:rsidRPr="009504FF" w:rsidRDefault="00C13421" w:rsidP="009504FF">
      <w:pPr>
        <w:rPr>
          <w:rFonts w:ascii="Segoe UI" w:hAnsi="Segoe UI" w:cs="Segoe UI"/>
          <w:i/>
          <w:sz w:val="18"/>
        </w:rPr>
      </w:pPr>
      <w:r>
        <w:rPr>
          <w:rFonts w:ascii="Segoe UI" w:hAnsi="Segoe UI" w:cs="Segoe UI"/>
          <w:i/>
          <w:sz w:val="18"/>
        </w:rPr>
        <w:t xml:space="preserve">Motor Vehicle Flow - </w:t>
      </w:r>
      <w:r w:rsidR="009504FF" w:rsidRPr="009504FF">
        <w:rPr>
          <w:rFonts w:ascii="Segoe UI" w:hAnsi="Segoe UI" w:cs="Segoe UI"/>
          <w:i/>
          <w:sz w:val="18"/>
        </w:rPr>
        <w:t>The number of vehicles passing in 24 hours at an average point on the road network in each local authority. This controls for differing length of road in each authority, providing a measure of how heavily used the roads are.</w:t>
      </w:r>
    </w:p>
    <w:p w:rsidR="00616D21" w:rsidRPr="009504FF" w:rsidRDefault="009504FF" w:rsidP="009504FF">
      <w:pPr>
        <w:rPr>
          <w:rFonts w:ascii="Segoe UI" w:hAnsi="Segoe UI" w:cs="Segoe UI"/>
          <w:i/>
          <w:sz w:val="18"/>
        </w:rPr>
      </w:pPr>
      <w:r w:rsidRPr="009504FF">
        <w:rPr>
          <w:rFonts w:ascii="Segoe UI" w:hAnsi="Segoe UI" w:cs="Segoe UI"/>
          <w:i/>
          <w:sz w:val="18"/>
        </w:rPr>
        <w:t>It is calculated by dividing the estimate of annual vehicle miles in each local authority by the length of road in that authority and number of days in the year</w:t>
      </w:r>
    </w:p>
    <w:p w:rsidR="00EB236D" w:rsidRDefault="00EB236D">
      <w:pPr>
        <w:rPr>
          <w:rFonts w:ascii="Segoe UI" w:hAnsi="Segoe UI" w:cs="Segoe UI"/>
        </w:rPr>
      </w:pPr>
    </w:p>
    <w:p w:rsidR="00616D21" w:rsidRDefault="00616D21">
      <w:pPr>
        <w:rPr>
          <w:rFonts w:ascii="Segoe UI" w:hAnsi="Segoe UI" w:cs="Segoe UI"/>
        </w:rPr>
      </w:pPr>
    </w:p>
    <w:p w:rsidR="002D62CB" w:rsidRDefault="002D62CB">
      <w:pPr>
        <w:rPr>
          <w:rFonts w:ascii="Segoe UI" w:hAnsi="Segoe UI" w:cs="Segoe UI"/>
        </w:rPr>
      </w:pPr>
    </w:p>
    <w:p w:rsidR="00765529" w:rsidRDefault="00765529">
      <w:pPr>
        <w:rPr>
          <w:rFonts w:ascii="Segoe UI" w:hAnsi="Segoe UI" w:cs="Segoe UI"/>
        </w:rPr>
      </w:pPr>
    </w:p>
    <w:p w:rsidR="00C13421" w:rsidRDefault="00C13421">
      <w:pPr>
        <w:rPr>
          <w:rFonts w:ascii="Segoe UI" w:hAnsi="Segoe UI" w:cs="Segoe UI"/>
          <w:b/>
          <w:u w:val="single"/>
        </w:rPr>
      </w:pPr>
      <w:bookmarkStart w:id="2" w:name="Road"/>
      <w:bookmarkEnd w:id="2"/>
      <w:r>
        <w:rPr>
          <w:rFonts w:ascii="Segoe UI" w:hAnsi="Segoe UI" w:cs="Segoe UI"/>
          <w:b/>
          <w:u w:val="single"/>
        </w:rPr>
        <w:br w:type="page"/>
      </w:r>
    </w:p>
    <w:p w:rsidR="00B66EC4" w:rsidRDefault="00214346">
      <w:pPr>
        <w:rPr>
          <w:rFonts w:ascii="Segoe UI" w:hAnsi="Segoe UI" w:cs="Segoe UI"/>
          <w:b/>
          <w:u w:val="single"/>
        </w:rPr>
      </w:pPr>
      <w:r>
        <w:rPr>
          <w:rFonts w:ascii="Segoe UI" w:hAnsi="Segoe UI" w:cs="Segoe UI"/>
          <w:b/>
          <w:u w:val="single"/>
        </w:rPr>
        <w:lastRenderedPageBreak/>
        <w:t>Road network</w:t>
      </w:r>
    </w:p>
    <w:p w:rsidR="00357E6D" w:rsidRPr="00357E6D" w:rsidRDefault="00357E6D">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SCANNER (Surface Condition Assessment for the National Network of Roads) data are collected using automated road condition survey machines. Although each machine is accredited for accuracy and readings fall within the accepted boundaries of the SCANNER specification for road condition, there is still variability between the results that each machine delivers. This can lead to changes in the figures over time that are for reasons beyond the condition of the road, and above the expected range of variability that already exists within the data. Caution should therefore be taken when comparing the figu</w:t>
      </w:r>
      <w:r>
        <w:rPr>
          <w:rFonts w:ascii="Segoe UI" w:hAnsi="Segoe UI" w:cs="Segoe UI"/>
          <w:i/>
          <w:sz w:val="16"/>
        </w:rPr>
        <w:t>res across years.  Additionally, a</w:t>
      </w:r>
      <w:r w:rsidRPr="00357E6D">
        <w:rPr>
          <w:rFonts w:ascii="Segoe UI" w:hAnsi="Segoe UI" w:cs="Segoe UI"/>
          <w:i/>
          <w:sz w:val="16"/>
        </w:rPr>
        <w:t>lternative technologies to SCANNER surveys were used to collect data for some local authorities.</w:t>
      </w:r>
      <w:r>
        <w:rPr>
          <w:rFonts w:ascii="Segoe UI" w:hAnsi="Segoe UI" w:cs="Segoe UI"/>
          <w:i/>
          <w:sz w:val="16"/>
        </w:rPr>
        <w:t xml:space="preserve">  The following charts show the data such as it is, but should be read in mind of the caveats as stated.</w:t>
      </w:r>
    </w:p>
    <w:p w:rsidR="00C13421" w:rsidRDefault="00C13421">
      <w:pPr>
        <w:rPr>
          <w:rFonts w:ascii="Segoe UI" w:hAnsi="Segoe UI" w:cs="Segoe UI"/>
        </w:rPr>
      </w:pPr>
    </w:p>
    <w:p w:rsidR="00137983" w:rsidRDefault="00630C41">
      <w:pPr>
        <w:rPr>
          <w:rFonts w:ascii="Segoe UI" w:hAnsi="Segoe UI" w:cs="Segoe UI"/>
        </w:rPr>
      </w:pPr>
      <w:r w:rsidRPr="00630C41">
        <w:rPr>
          <w:rFonts w:ascii="Segoe UI" w:hAnsi="Segoe UI" w:cs="Segoe UI"/>
        </w:rPr>
        <w:t>Principal and non-principal classified roads where maintenance should be considered</w:t>
      </w: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76475"/>
            <wp:effectExtent l="19050" t="0" r="19050" b="0"/>
            <wp:docPr id="9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630C41" w:rsidRDefault="00630C41">
      <w:pPr>
        <w:rPr>
          <w:rFonts w:ascii="Segoe UI" w:hAnsi="Segoe UI" w:cs="Segoe UI"/>
        </w:rPr>
      </w:pP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66950"/>
            <wp:effectExtent l="19050" t="0" r="19050" b="0"/>
            <wp:docPr id="99"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630C41" w:rsidRDefault="00630C41">
      <w:pPr>
        <w:rPr>
          <w:rFonts w:ascii="Segoe UI" w:hAnsi="Segoe UI" w:cs="Segoe UI"/>
        </w:rPr>
      </w:pPr>
    </w:p>
    <w:p w:rsidR="00C13421" w:rsidRDefault="00C13421">
      <w:pPr>
        <w:rPr>
          <w:rFonts w:ascii="Segoe UI" w:hAnsi="Segoe UI" w:cs="Segoe UI"/>
        </w:rPr>
      </w:pPr>
      <w:r>
        <w:rPr>
          <w:rFonts w:ascii="Segoe UI" w:hAnsi="Segoe UI" w:cs="Segoe UI"/>
        </w:rPr>
        <w:br w:type="page"/>
      </w:r>
    </w:p>
    <w:p w:rsidR="00630C41" w:rsidRDefault="00630C41">
      <w:pPr>
        <w:rPr>
          <w:rFonts w:ascii="Segoe UI" w:hAnsi="Segoe UI" w:cs="Segoe UI"/>
        </w:rPr>
      </w:pPr>
      <w:r w:rsidRPr="00630C41">
        <w:rPr>
          <w:rFonts w:ascii="Segoe UI" w:hAnsi="Segoe UI" w:cs="Segoe UI"/>
        </w:rPr>
        <w:lastRenderedPageBreak/>
        <w:t>Total road length (miles) by road type</w:t>
      </w:r>
    </w:p>
    <w:tbl>
      <w:tblPr>
        <w:tblW w:w="9923" w:type="dxa"/>
        <w:tblInd w:w="108" w:type="dxa"/>
        <w:tblLook w:val="04A0"/>
      </w:tblPr>
      <w:tblGrid>
        <w:gridCol w:w="2552"/>
        <w:gridCol w:w="2818"/>
        <w:gridCol w:w="2647"/>
        <w:gridCol w:w="1906"/>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Motorways,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motorways</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motorways</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motorways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0</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789.22</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25.72</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814.95</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1088.69</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7.33</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1096.03</w:t>
            </w:r>
          </w:p>
        </w:tc>
      </w:tr>
      <w:tr w:rsidR="003B410D"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3B410D" w:rsidRDefault="003B410D" w:rsidP="003B410D">
            <w:pPr>
              <w:spacing w:after="100" w:afterAutospacing="1"/>
              <w:rPr>
                <w:rFonts w:ascii="Tahoma" w:hAnsi="Tahoma" w:cs="Tahoma"/>
                <w:color w:val="000000"/>
                <w:sz w:val="16"/>
                <w:szCs w:val="16"/>
              </w:rPr>
            </w:pPr>
            <w:r>
              <w:rPr>
                <w:rFonts w:ascii="Tahoma" w:hAnsi="Tahoma" w:cs="Tahoma"/>
                <w:color w:val="000000"/>
                <w:sz w:val="16"/>
                <w:szCs w:val="16"/>
              </w:rPr>
              <w:t>Essex</w:t>
            </w:r>
          </w:p>
        </w:tc>
        <w:tc>
          <w:tcPr>
            <w:tcW w:w="2818" w:type="dxa"/>
            <w:tcBorders>
              <w:top w:val="nil"/>
              <w:left w:val="nil"/>
              <w:bottom w:val="single" w:sz="4" w:space="0" w:color="auto"/>
              <w:right w:val="single" w:sz="4" w:space="0" w:color="auto"/>
            </w:tcBorders>
            <w:shd w:val="clear" w:color="auto" w:fill="auto"/>
            <w:noWrap/>
            <w:vAlign w:val="bottom"/>
            <w:hideMark/>
          </w:tcPr>
          <w:p w:rsidR="003B410D" w:rsidRDefault="003B410D" w:rsidP="003B410D">
            <w:pPr>
              <w:spacing w:after="100" w:afterAutospacing="1"/>
              <w:jc w:val="right"/>
              <w:rPr>
                <w:rFonts w:ascii="Tahoma" w:hAnsi="Tahoma" w:cs="Tahoma"/>
                <w:color w:val="000000"/>
                <w:sz w:val="16"/>
                <w:szCs w:val="16"/>
              </w:rPr>
            </w:pPr>
            <w:r>
              <w:rPr>
                <w:rFonts w:ascii="Tahoma" w:hAnsi="Tahoma" w:cs="Tahoma"/>
                <w:color w:val="000000"/>
                <w:sz w:val="16"/>
                <w:szCs w:val="16"/>
              </w:rPr>
              <w:t>46.79</w:t>
            </w:r>
          </w:p>
        </w:tc>
        <w:tc>
          <w:tcPr>
            <w:tcW w:w="2647" w:type="dxa"/>
            <w:tcBorders>
              <w:top w:val="nil"/>
              <w:left w:val="nil"/>
              <w:bottom w:val="single" w:sz="4" w:space="0" w:color="auto"/>
              <w:right w:val="single" w:sz="4" w:space="0" w:color="auto"/>
            </w:tcBorders>
            <w:shd w:val="clear" w:color="auto" w:fill="auto"/>
            <w:noWrap/>
            <w:vAlign w:val="bottom"/>
            <w:hideMark/>
          </w:tcPr>
          <w:p w:rsidR="003B410D" w:rsidRDefault="003B410D" w:rsidP="003B410D">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906" w:type="dxa"/>
            <w:tcBorders>
              <w:top w:val="nil"/>
              <w:left w:val="nil"/>
              <w:bottom w:val="single" w:sz="4" w:space="0" w:color="auto"/>
              <w:right w:val="single" w:sz="4" w:space="0" w:color="auto"/>
            </w:tcBorders>
            <w:shd w:val="clear" w:color="auto" w:fill="auto"/>
            <w:noWrap/>
            <w:vAlign w:val="bottom"/>
            <w:hideMark/>
          </w:tcPr>
          <w:p w:rsidR="003B410D" w:rsidRDefault="003B410D" w:rsidP="003B410D">
            <w:pPr>
              <w:spacing w:after="100" w:afterAutospacing="1"/>
              <w:jc w:val="right"/>
              <w:rPr>
                <w:rFonts w:ascii="Tahoma" w:hAnsi="Tahoma" w:cs="Tahoma"/>
                <w:color w:val="000000"/>
                <w:sz w:val="16"/>
                <w:szCs w:val="16"/>
              </w:rPr>
            </w:pPr>
            <w:r>
              <w:rPr>
                <w:rFonts w:ascii="Tahoma" w:hAnsi="Tahoma" w:cs="Tahoma"/>
                <w:color w:val="000000"/>
                <w:sz w:val="16"/>
                <w:szCs w:val="16"/>
              </w:rPr>
              <w:t>46.79</w:t>
            </w:r>
          </w:p>
        </w:tc>
      </w:tr>
    </w:tbl>
    <w:p w:rsidR="00630C41" w:rsidRDefault="00630C41">
      <w:pPr>
        <w:rPr>
          <w:rFonts w:ascii="Segoe UI" w:hAnsi="Segoe UI" w:cs="Segoe UI"/>
        </w:rPr>
      </w:pPr>
    </w:p>
    <w:tbl>
      <w:tblPr>
        <w:tblW w:w="9923" w:type="dxa"/>
        <w:tblInd w:w="108" w:type="dxa"/>
        <w:tblLook w:val="04A0"/>
      </w:tblPr>
      <w:tblGrid>
        <w:gridCol w:w="2552"/>
        <w:gridCol w:w="1356"/>
        <w:gridCol w:w="1377"/>
        <w:gridCol w:w="1661"/>
        <w:gridCol w:w="1559"/>
        <w:gridCol w:w="1418"/>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rural 'A'</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urban 'A'</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rural 'A'</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urban 'A'</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'A'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1233.18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38.59</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5873.4</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592.25</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7737.38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298.8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95.71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1989.36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4096.03</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6479.91</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1666.44</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8013.15</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1867.74</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11618.34</w:t>
            </w:r>
          </w:p>
        </w:tc>
      </w:tr>
      <w:tr w:rsidR="003B410D"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3B410D" w:rsidRDefault="003B410D" w:rsidP="003B410D">
            <w:pPr>
              <w:spacing w:after="100" w:afterAutospacing="1"/>
              <w:rPr>
                <w:rFonts w:ascii="Tahoma" w:hAnsi="Tahoma" w:cs="Tahoma"/>
                <w:color w:val="000000"/>
                <w:sz w:val="16"/>
                <w:szCs w:val="16"/>
              </w:rPr>
            </w:pPr>
            <w:r>
              <w:rPr>
                <w:rFonts w:ascii="Tahoma" w:hAnsi="Tahoma" w:cs="Tahoma"/>
                <w:color w:val="000000"/>
                <w:sz w:val="16"/>
                <w:szCs w:val="16"/>
              </w:rPr>
              <w:t>Essex</w:t>
            </w:r>
          </w:p>
        </w:tc>
        <w:tc>
          <w:tcPr>
            <w:tcW w:w="1356" w:type="dxa"/>
            <w:tcBorders>
              <w:top w:val="nil"/>
              <w:left w:val="nil"/>
              <w:bottom w:val="single" w:sz="4" w:space="0" w:color="auto"/>
              <w:right w:val="single" w:sz="4" w:space="0" w:color="auto"/>
            </w:tcBorders>
            <w:shd w:val="clear" w:color="auto" w:fill="auto"/>
            <w:noWrap/>
            <w:vAlign w:val="bottom"/>
            <w:hideMark/>
          </w:tcPr>
          <w:p w:rsidR="003B410D" w:rsidRDefault="003B410D" w:rsidP="003B410D">
            <w:pPr>
              <w:spacing w:after="100" w:afterAutospacing="1"/>
              <w:jc w:val="right"/>
              <w:rPr>
                <w:rFonts w:ascii="Tahoma" w:hAnsi="Tahoma" w:cs="Tahoma"/>
                <w:color w:val="000000"/>
                <w:sz w:val="16"/>
                <w:szCs w:val="16"/>
              </w:rPr>
            </w:pPr>
            <w:r>
              <w:rPr>
                <w:rFonts w:ascii="Tahoma" w:hAnsi="Tahoma" w:cs="Tahoma"/>
                <w:color w:val="000000"/>
                <w:sz w:val="16"/>
                <w:szCs w:val="16"/>
              </w:rPr>
              <w:t>91.09</w:t>
            </w:r>
          </w:p>
        </w:tc>
        <w:tc>
          <w:tcPr>
            <w:tcW w:w="1377" w:type="dxa"/>
            <w:tcBorders>
              <w:top w:val="nil"/>
              <w:left w:val="nil"/>
              <w:bottom w:val="single" w:sz="4" w:space="0" w:color="auto"/>
              <w:right w:val="single" w:sz="4" w:space="0" w:color="auto"/>
            </w:tcBorders>
            <w:shd w:val="clear" w:color="auto" w:fill="auto"/>
            <w:noWrap/>
            <w:vAlign w:val="bottom"/>
            <w:hideMark/>
          </w:tcPr>
          <w:p w:rsidR="003B410D" w:rsidRDefault="003B410D" w:rsidP="003B410D">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661" w:type="dxa"/>
            <w:tcBorders>
              <w:top w:val="nil"/>
              <w:left w:val="nil"/>
              <w:bottom w:val="single" w:sz="4" w:space="0" w:color="auto"/>
              <w:right w:val="single" w:sz="4" w:space="0" w:color="auto"/>
            </w:tcBorders>
            <w:shd w:val="clear" w:color="auto" w:fill="auto"/>
            <w:noWrap/>
            <w:vAlign w:val="bottom"/>
            <w:hideMark/>
          </w:tcPr>
          <w:p w:rsidR="003B410D" w:rsidRDefault="003B410D" w:rsidP="003B410D">
            <w:pPr>
              <w:spacing w:after="100" w:afterAutospacing="1"/>
              <w:jc w:val="right"/>
              <w:rPr>
                <w:rFonts w:ascii="Tahoma" w:hAnsi="Tahoma" w:cs="Tahoma"/>
                <w:color w:val="000000"/>
                <w:sz w:val="16"/>
                <w:szCs w:val="16"/>
              </w:rPr>
            </w:pPr>
            <w:r>
              <w:rPr>
                <w:rFonts w:ascii="Tahoma" w:hAnsi="Tahoma" w:cs="Tahoma"/>
                <w:color w:val="000000"/>
                <w:sz w:val="16"/>
                <w:szCs w:val="16"/>
              </w:rPr>
              <w:t>204.8</w:t>
            </w:r>
          </w:p>
        </w:tc>
        <w:tc>
          <w:tcPr>
            <w:tcW w:w="1559" w:type="dxa"/>
            <w:tcBorders>
              <w:top w:val="nil"/>
              <w:left w:val="nil"/>
              <w:bottom w:val="single" w:sz="4" w:space="0" w:color="auto"/>
              <w:right w:val="single" w:sz="4" w:space="0" w:color="auto"/>
            </w:tcBorders>
            <w:shd w:val="clear" w:color="auto" w:fill="auto"/>
            <w:noWrap/>
            <w:vAlign w:val="bottom"/>
            <w:hideMark/>
          </w:tcPr>
          <w:p w:rsidR="003B410D" w:rsidRDefault="003B410D" w:rsidP="003B410D">
            <w:pPr>
              <w:spacing w:after="100" w:afterAutospacing="1"/>
              <w:jc w:val="right"/>
              <w:rPr>
                <w:rFonts w:ascii="Tahoma" w:hAnsi="Tahoma" w:cs="Tahoma"/>
                <w:color w:val="000000"/>
                <w:sz w:val="16"/>
                <w:szCs w:val="16"/>
              </w:rPr>
            </w:pPr>
            <w:r>
              <w:rPr>
                <w:rFonts w:ascii="Tahoma" w:hAnsi="Tahoma" w:cs="Tahoma"/>
                <w:color w:val="000000"/>
                <w:sz w:val="16"/>
                <w:szCs w:val="16"/>
              </w:rPr>
              <w:t>96.87</w:t>
            </w:r>
          </w:p>
        </w:tc>
        <w:tc>
          <w:tcPr>
            <w:tcW w:w="1418" w:type="dxa"/>
            <w:tcBorders>
              <w:top w:val="nil"/>
              <w:left w:val="nil"/>
              <w:bottom w:val="single" w:sz="4" w:space="0" w:color="auto"/>
              <w:right w:val="single" w:sz="4" w:space="0" w:color="auto"/>
            </w:tcBorders>
            <w:shd w:val="clear" w:color="auto" w:fill="auto"/>
            <w:noWrap/>
            <w:vAlign w:val="bottom"/>
            <w:hideMark/>
          </w:tcPr>
          <w:p w:rsidR="003B410D" w:rsidRDefault="003B410D" w:rsidP="003B410D">
            <w:pPr>
              <w:spacing w:after="100" w:afterAutospacing="1"/>
              <w:jc w:val="right"/>
              <w:rPr>
                <w:rFonts w:ascii="Tahoma" w:hAnsi="Tahoma" w:cs="Tahoma"/>
                <w:color w:val="000000"/>
                <w:sz w:val="16"/>
                <w:szCs w:val="16"/>
              </w:rPr>
            </w:pPr>
            <w:r>
              <w:rPr>
                <w:rFonts w:ascii="Tahoma" w:hAnsi="Tahoma" w:cs="Tahoma"/>
                <w:color w:val="000000"/>
                <w:sz w:val="16"/>
                <w:szCs w:val="16"/>
              </w:rPr>
              <w:t>392.77</w:t>
            </w:r>
          </w:p>
        </w:tc>
      </w:tr>
    </w:tbl>
    <w:p w:rsidR="00630C41" w:rsidRDefault="00630C41">
      <w:pPr>
        <w:rPr>
          <w:rFonts w:ascii="Segoe UI" w:hAnsi="Segoe UI" w:cs="Segoe UI"/>
        </w:rPr>
      </w:pPr>
    </w:p>
    <w:tbl>
      <w:tblPr>
        <w:tblW w:w="9923" w:type="dxa"/>
        <w:tblInd w:w="108" w:type="dxa"/>
        <w:tblLook w:val="04A0"/>
      </w:tblPr>
      <w:tblGrid>
        <w:gridCol w:w="2552"/>
        <w:gridCol w:w="1276"/>
        <w:gridCol w:w="1417"/>
        <w:gridCol w:w="1559"/>
        <w:gridCol w:w="1560"/>
        <w:gridCol w:w="1559"/>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Minor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 xml:space="preserve">Rural 'B' </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'B'</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Rural 'C' and 'U'</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'C' and 'U'</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minor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5416.9</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395.2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47980.4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8406.8</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1349.5</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1752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11188</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43816.6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6486.4</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1207.9</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61474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24957.6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r>
      <w:tr w:rsidR="003B410D"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3B410D" w:rsidRDefault="003B410D" w:rsidP="003B410D">
            <w:pPr>
              <w:spacing w:after="100" w:afterAutospacing="1"/>
              <w:rPr>
                <w:rFonts w:ascii="Tahoma" w:hAnsi="Tahoma" w:cs="Tahoma"/>
                <w:color w:val="000000"/>
                <w:sz w:val="16"/>
                <w:szCs w:val="16"/>
              </w:rPr>
            </w:pPr>
            <w:r>
              <w:rPr>
                <w:rFonts w:ascii="Tahoma" w:hAnsi="Tahoma" w:cs="Tahoma"/>
                <w:color w:val="000000"/>
                <w:sz w:val="16"/>
                <w:szCs w:val="16"/>
              </w:rPr>
              <w:t>Essex</w:t>
            </w:r>
          </w:p>
        </w:tc>
        <w:tc>
          <w:tcPr>
            <w:tcW w:w="1276" w:type="dxa"/>
            <w:tcBorders>
              <w:top w:val="nil"/>
              <w:left w:val="nil"/>
              <w:bottom w:val="single" w:sz="4" w:space="0" w:color="auto"/>
              <w:right w:val="single" w:sz="4" w:space="0" w:color="auto"/>
            </w:tcBorders>
            <w:shd w:val="clear" w:color="auto" w:fill="auto"/>
            <w:noWrap/>
            <w:vAlign w:val="bottom"/>
            <w:hideMark/>
          </w:tcPr>
          <w:p w:rsidR="003B410D" w:rsidRDefault="003B410D" w:rsidP="003B410D">
            <w:pPr>
              <w:spacing w:after="100" w:afterAutospacing="1"/>
              <w:jc w:val="right"/>
              <w:rPr>
                <w:rFonts w:ascii="Tahoma" w:hAnsi="Tahoma" w:cs="Tahoma"/>
                <w:color w:val="000000"/>
                <w:sz w:val="16"/>
                <w:szCs w:val="16"/>
              </w:rPr>
            </w:pPr>
            <w:r>
              <w:rPr>
                <w:rFonts w:ascii="Tahoma" w:hAnsi="Tahoma" w:cs="Tahoma"/>
                <w:color w:val="000000"/>
                <w:sz w:val="16"/>
                <w:szCs w:val="16"/>
              </w:rPr>
              <w:t>386.4</w:t>
            </w:r>
          </w:p>
        </w:tc>
        <w:tc>
          <w:tcPr>
            <w:tcW w:w="1417" w:type="dxa"/>
            <w:tcBorders>
              <w:top w:val="nil"/>
              <w:left w:val="nil"/>
              <w:bottom w:val="single" w:sz="4" w:space="0" w:color="auto"/>
              <w:right w:val="single" w:sz="4" w:space="0" w:color="auto"/>
            </w:tcBorders>
            <w:shd w:val="clear" w:color="auto" w:fill="auto"/>
            <w:noWrap/>
            <w:vAlign w:val="bottom"/>
            <w:hideMark/>
          </w:tcPr>
          <w:p w:rsidR="003B410D" w:rsidRDefault="003B410D" w:rsidP="003B410D">
            <w:pPr>
              <w:spacing w:after="100" w:afterAutospacing="1"/>
              <w:jc w:val="right"/>
              <w:rPr>
                <w:rFonts w:ascii="Tahoma" w:hAnsi="Tahoma" w:cs="Tahoma"/>
                <w:color w:val="000000"/>
                <w:sz w:val="16"/>
                <w:szCs w:val="16"/>
              </w:rPr>
            </w:pPr>
            <w:r>
              <w:rPr>
                <w:rFonts w:ascii="Tahoma" w:hAnsi="Tahoma" w:cs="Tahoma"/>
                <w:color w:val="000000"/>
                <w:sz w:val="16"/>
                <w:szCs w:val="16"/>
              </w:rPr>
              <w:t>93.3</w:t>
            </w:r>
          </w:p>
        </w:tc>
        <w:tc>
          <w:tcPr>
            <w:tcW w:w="1559" w:type="dxa"/>
            <w:tcBorders>
              <w:top w:val="nil"/>
              <w:left w:val="nil"/>
              <w:bottom w:val="single" w:sz="4" w:space="0" w:color="auto"/>
              <w:right w:val="single" w:sz="4" w:space="0" w:color="auto"/>
            </w:tcBorders>
            <w:shd w:val="clear" w:color="auto" w:fill="auto"/>
            <w:noWrap/>
            <w:vAlign w:val="bottom"/>
            <w:hideMark/>
          </w:tcPr>
          <w:p w:rsidR="003B410D" w:rsidRDefault="003B410D" w:rsidP="003B410D">
            <w:pPr>
              <w:spacing w:after="100" w:afterAutospacing="1"/>
              <w:jc w:val="right"/>
              <w:rPr>
                <w:rFonts w:ascii="Tahoma" w:hAnsi="Tahoma" w:cs="Tahoma"/>
                <w:color w:val="000000"/>
                <w:sz w:val="16"/>
                <w:szCs w:val="16"/>
              </w:rPr>
            </w:pPr>
            <w:r>
              <w:rPr>
                <w:rFonts w:ascii="Tahoma" w:hAnsi="Tahoma" w:cs="Tahoma"/>
                <w:color w:val="000000"/>
                <w:sz w:val="16"/>
                <w:szCs w:val="16"/>
              </w:rPr>
              <w:t>2542.2</w:t>
            </w:r>
          </w:p>
        </w:tc>
        <w:tc>
          <w:tcPr>
            <w:tcW w:w="1560" w:type="dxa"/>
            <w:tcBorders>
              <w:top w:val="nil"/>
              <w:left w:val="nil"/>
              <w:bottom w:val="single" w:sz="4" w:space="0" w:color="auto"/>
              <w:right w:val="single" w:sz="4" w:space="0" w:color="auto"/>
            </w:tcBorders>
            <w:shd w:val="clear" w:color="auto" w:fill="auto"/>
            <w:noWrap/>
            <w:vAlign w:val="bottom"/>
            <w:hideMark/>
          </w:tcPr>
          <w:p w:rsidR="003B410D" w:rsidRDefault="003B410D" w:rsidP="003B410D">
            <w:pPr>
              <w:spacing w:after="100" w:afterAutospacing="1"/>
              <w:jc w:val="right"/>
              <w:rPr>
                <w:rFonts w:ascii="Tahoma" w:hAnsi="Tahoma" w:cs="Tahoma"/>
                <w:color w:val="000000"/>
                <w:sz w:val="16"/>
                <w:szCs w:val="16"/>
              </w:rPr>
            </w:pPr>
            <w:r>
              <w:rPr>
                <w:rFonts w:ascii="Tahoma" w:hAnsi="Tahoma" w:cs="Tahoma"/>
                <w:color w:val="000000"/>
                <w:sz w:val="16"/>
                <w:szCs w:val="16"/>
              </w:rPr>
              <w:t>1660.5</w:t>
            </w:r>
          </w:p>
        </w:tc>
        <w:tc>
          <w:tcPr>
            <w:tcW w:w="1559" w:type="dxa"/>
            <w:tcBorders>
              <w:top w:val="nil"/>
              <w:left w:val="nil"/>
              <w:bottom w:val="single" w:sz="4" w:space="0" w:color="auto"/>
              <w:right w:val="single" w:sz="4" w:space="0" w:color="auto"/>
            </w:tcBorders>
            <w:shd w:val="clear" w:color="auto" w:fill="auto"/>
            <w:noWrap/>
            <w:vAlign w:val="bottom"/>
            <w:hideMark/>
          </w:tcPr>
          <w:p w:rsidR="003B410D" w:rsidRDefault="003B410D" w:rsidP="003B410D">
            <w:pPr>
              <w:spacing w:after="100" w:afterAutospacing="1"/>
              <w:jc w:val="right"/>
              <w:rPr>
                <w:rFonts w:ascii="Tahoma" w:hAnsi="Tahoma" w:cs="Tahoma"/>
                <w:color w:val="000000"/>
                <w:sz w:val="16"/>
                <w:szCs w:val="16"/>
              </w:rPr>
            </w:pPr>
            <w:r>
              <w:rPr>
                <w:rFonts w:ascii="Tahoma" w:hAnsi="Tahoma" w:cs="Tahoma"/>
                <w:color w:val="000000"/>
                <w:sz w:val="16"/>
                <w:szCs w:val="16"/>
              </w:rPr>
              <w:t>4682.5</w:t>
            </w:r>
          </w:p>
        </w:tc>
      </w:tr>
    </w:tbl>
    <w:p w:rsidR="00630C41" w:rsidRDefault="00630C41">
      <w:pPr>
        <w:rPr>
          <w:rFonts w:ascii="Segoe UI" w:hAnsi="Segoe UI" w:cs="Segoe UI"/>
        </w:rPr>
      </w:pPr>
    </w:p>
    <w:tbl>
      <w:tblPr>
        <w:tblW w:w="9923" w:type="dxa"/>
        <w:tblInd w:w="108" w:type="dxa"/>
        <w:tblLook w:val="04A0"/>
      </w:tblPr>
      <w:tblGrid>
        <w:gridCol w:w="2552"/>
        <w:gridCol w:w="1843"/>
        <w:gridCol w:w="1984"/>
        <w:gridCol w:w="1843"/>
        <w:gridCol w:w="1701"/>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All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Trunk roads</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Prinicipal roads</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Minor roads</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Total road length</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1602.12</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6465.6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70267.2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1183.71</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6111.12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65402.6</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2826.16</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9888.2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106840.3</w:t>
            </w:r>
          </w:p>
        </w:tc>
      </w:tr>
      <w:tr w:rsidR="003B410D"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3B410D" w:rsidRDefault="003B410D" w:rsidP="003B410D">
            <w:pPr>
              <w:spacing w:after="100" w:afterAutospacing="1"/>
              <w:rPr>
                <w:rFonts w:ascii="Tahoma" w:hAnsi="Tahoma" w:cs="Tahoma"/>
                <w:color w:val="000000"/>
                <w:sz w:val="16"/>
                <w:szCs w:val="16"/>
              </w:rPr>
            </w:pPr>
            <w:r>
              <w:rPr>
                <w:rFonts w:ascii="Tahoma" w:hAnsi="Tahoma" w:cs="Tahoma"/>
                <w:color w:val="000000"/>
                <w:sz w:val="16"/>
                <w:szCs w:val="16"/>
              </w:rPr>
              <w:t>Essex</w:t>
            </w:r>
          </w:p>
        </w:tc>
        <w:tc>
          <w:tcPr>
            <w:tcW w:w="1843" w:type="dxa"/>
            <w:tcBorders>
              <w:top w:val="nil"/>
              <w:left w:val="nil"/>
              <w:bottom w:val="single" w:sz="4" w:space="0" w:color="auto"/>
              <w:right w:val="single" w:sz="4" w:space="0" w:color="auto"/>
            </w:tcBorders>
            <w:shd w:val="clear" w:color="auto" w:fill="auto"/>
            <w:noWrap/>
            <w:vAlign w:val="bottom"/>
            <w:hideMark/>
          </w:tcPr>
          <w:p w:rsidR="003B410D" w:rsidRDefault="003B410D" w:rsidP="003B410D">
            <w:pPr>
              <w:spacing w:after="100" w:afterAutospacing="1"/>
              <w:jc w:val="right"/>
              <w:rPr>
                <w:rFonts w:ascii="Tahoma" w:hAnsi="Tahoma" w:cs="Tahoma"/>
                <w:color w:val="000000"/>
                <w:sz w:val="16"/>
                <w:szCs w:val="16"/>
              </w:rPr>
            </w:pPr>
            <w:r>
              <w:rPr>
                <w:rFonts w:ascii="Tahoma" w:hAnsi="Tahoma" w:cs="Tahoma"/>
                <w:color w:val="000000"/>
                <w:sz w:val="16"/>
                <w:szCs w:val="16"/>
              </w:rPr>
              <w:t>137.88</w:t>
            </w:r>
          </w:p>
        </w:tc>
        <w:tc>
          <w:tcPr>
            <w:tcW w:w="1984" w:type="dxa"/>
            <w:tcBorders>
              <w:top w:val="nil"/>
              <w:left w:val="nil"/>
              <w:bottom w:val="single" w:sz="4" w:space="0" w:color="auto"/>
              <w:right w:val="single" w:sz="4" w:space="0" w:color="auto"/>
            </w:tcBorders>
            <w:shd w:val="clear" w:color="auto" w:fill="auto"/>
            <w:noWrap/>
            <w:vAlign w:val="bottom"/>
            <w:hideMark/>
          </w:tcPr>
          <w:p w:rsidR="003B410D" w:rsidRDefault="003B410D" w:rsidP="003B410D">
            <w:pPr>
              <w:spacing w:after="100" w:afterAutospacing="1"/>
              <w:jc w:val="right"/>
              <w:rPr>
                <w:rFonts w:ascii="Tahoma" w:hAnsi="Tahoma" w:cs="Tahoma"/>
                <w:color w:val="000000"/>
                <w:sz w:val="16"/>
                <w:szCs w:val="16"/>
              </w:rPr>
            </w:pPr>
            <w:r>
              <w:rPr>
                <w:rFonts w:ascii="Tahoma" w:hAnsi="Tahoma" w:cs="Tahoma"/>
                <w:color w:val="000000"/>
                <w:sz w:val="16"/>
                <w:szCs w:val="16"/>
              </w:rPr>
              <w:t>301.68</w:t>
            </w:r>
          </w:p>
        </w:tc>
        <w:tc>
          <w:tcPr>
            <w:tcW w:w="1843" w:type="dxa"/>
            <w:tcBorders>
              <w:top w:val="nil"/>
              <w:left w:val="nil"/>
              <w:bottom w:val="single" w:sz="4" w:space="0" w:color="auto"/>
              <w:right w:val="single" w:sz="4" w:space="0" w:color="auto"/>
            </w:tcBorders>
            <w:shd w:val="clear" w:color="auto" w:fill="auto"/>
            <w:noWrap/>
            <w:vAlign w:val="bottom"/>
            <w:hideMark/>
          </w:tcPr>
          <w:p w:rsidR="003B410D" w:rsidRDefault="003B410D" w:rsidP="003B410D">
            <w:pPr>
              <w:spacing w:after="100" w:afterAutospacing="1"/>
              <w:jc w:val="right"/>
              <w:rPr>
                <w:rFonts w:ascii="Tahoma" w:hAnsi="Tahoma" w:cs="Tahoma"/>
                <w:color w:val="000000"/>
                <w:sz w:val="16"/>
                <w:szCs w:val="16"/>
              </w:rPr>
            </w:pPr>
            <w:r>
              <w:rPr>
                <w:rFonts w:ascii="Tahoma" w:hAnsi="Tahoma" w:cs="Tahoma"/>
                <w:color w:val="000000"/>
                <w:sz w:val="16"/>
                <w:szCs w:val="16"/>
              </w:rPr>
              <w:t>4682.5</w:t>
            </w:r>
          </w:p>
        </w:tc>
        <w:tc>
          <w:tcPr>
            <w:tcW w:w="1701" w:type="dxa"/>
            <w:tcBorders>
              <w:top w:val="nil"/>
              <w:left w:val="nil"/>
              <w:bottom w:val="single" w:sz="4" w:space="0" w:color="auto"/>
              <w:right w:val="single" w:sz="4" w:space="0" w:color="auto"/>
            </w:tcBorders>
            <w:shd w:val="clear" w:color="auto" w:fill="auto"/>
            <w:noWrap/>
            <w:vAlign w:val="bottom"/>
            <w:hideMark/>
          </w:tcPr>
          <w:p w:rsidR="003B410D" w:rsidRDefault="003B410D" w:rsidP="003B410D">
            <w:pPr>
              <w:spacing w:after="100" w:afterAutospacing="1"/>
              <w:jc w:val="right"/>
              <w:rPr>
                <w:rFonts w:ascii="Tahoma" w:hAnsi="Tahoma" w:cs="Tahoma"/>
                <w:color w:val="000000"/>
                <w:sz w:val="16"/>
                <w:szCs w:val="16"/>
              </w:rPr>
            </w:pPr>
            <w:r>
              <w:rPr>
                <w:rFonts w:ascii="Tahoma" w:hAnsi="Tahoma" w:cs="Tahoma"/>
                <w:color w:val="000000"/>
                <w:sz w:val="16"/>
                <w:szCs w:val="16"/>
              </w:rPr>
              <w:t>5122</w:t>
            </w:r>
          </w:p>
        </w:tc>
      </w:tr>
    </w:tbl>
    <w:p w:rsidR="00630C41" w:rsidRDefault="00630C41">
      <w:pPr>
        <w:rPr>
          <w:rFonts w:ascii="Segoe UI" w:hAnsi="Segoe UI" w:cs="Segoe UI"/>
        </w:rPr>
      </w:pPr>
    </w:p>
    <w:p w:rsidR="009500DD" w:rsidRDefault="009500DD">
      <w:pPr>
        <w:rPr>
          <w:rFonts w:ascii="Segoe UI" w:hAnsi="Segoe UI" w:cs="Segoe UI"/>
        </w:rPr>
      </w:pPr>
    </w:p>
    <w:p w:rsidR="009500DD" w:rsidRDefault="009500DD">
      <w:pPr>
        <w:rPr>
          <w:rFonts w:ascii="Segoe UI" w:hAnsi="Segoe UI" w:cs="Segoe UI"/>
        </w:rPr>
      </w:pPr>
      <w:r>
        <w:rPr>
          <w:rFonts w:ascii="Segoe UI" w:hAnsi="Segoe UI" w:cs="Segoe UI"/>
        </w:rPr>
        <w:t>Taking the total road lengths and proportion where maintenance should be considered:</w:t>
      </w:r>
    </w:p>
    <w:p w:rsidR="009500DD" w:rsidRDefault="009500DD">
      <w:pPr>
        <w:rPr>
          <w:rFonts w:ascii="Segoe UI" w:hAnsi="Segoe UI" w:cs="Segoe UI"/>
        </w:rPr>
      </w:pPr>
    </w:p>
    <w:tbl>
      <w:tblPr>
        <w:tblW w:w="6940" w:type="dxa"/>
        <w:tblInd w:w="103" w:type="dxa"/>
        <w:tblLook w:val="04A0"/>
      </w:tblPr>
      <w:tblGrid>
        <w:gridCol w:w="4760"/>
        <w:gridCol w:w="2180"/>
      </w:tblGrid>
      <w:tr w:rsidR="003B410D" w:rsidRPr="009500DD" w:rsidTr="003B410D">
        <w:trPr>
          <w:trHeight w:val="956"/>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410D" w:rsidRDefault="003B410D" w:rsidP="003B410D">
            <w:pPr>
              <w:spacing w:after="100" w:afterAutospacing="1"/>
              <w:rPr>
                <w:rFonts w:ascii="Calibri" w:hAnsi="Calibri" w:cs="Calibri"/>
                <w:color w:val="000000"/>
              </w:rPr>
            </w:pPr>
            <w:r>
              <w:rPr>
                <w:rFonts w:ascii="Calibri" w:hAnsi="Calibri" w:cs="Calibri"/>
                <w:color w:val="000000"/>
              </w:rPr>
              <w:t>Road length of principal roads in Essex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3B410D" w:rsidRDefault="003B410D" w:rsidP="003B410D">
            <w:pPr>
              <w:spacing w:after="100" w:afterAutospacing="1"/>
              <w:rPr>
                <w:rFonts w:ascii="Calibri" w:hAnsi="Calibri" w:cs="Calibri"/>
                <w:color w:val="000000"/>
              </w:rPr>
            </w:pPr>
            <w:r>
              <w:rPr>
                <w:rFonts w:ascii="Calibri" w:hAnsi="Calibri" w:cs="Calibri"/>
                <w:color w:val="000000"/>
              </w:rPr>
              <w:t>6miles</w:t>
            </w:r>
          </w:p>
        </w:tc>
      </w:tr>
    </w:tbl>
    <w:p w:rsidR="009500DD" w:rsidRDefault="009500DD">
      <w:pPr>
        <w:rPr>
          <w:rFonts w:ascii="Segoe UI" w:hAnsi="Segoe UI" w:cs="Segoe UI"/>
        </w:rPr>
      </w:pPr>
    </w:p>
    <w:tbl>
      <w:tblPr>
        <w:tblW w:w="6940" w:type="dxa"/>
        <w:tblInd w:w="103" w:type="dxa"/>
        <w:tblLook w:val="04A0"/>
      </w:tblPr>
      <w:tblGrid>
        <w:gridCol w:w="4760"/>
        <w:gridCol w:w="2180"/>
      </w:tblGrid>
      <w:tr w:rsidR="003B410D" w:rsidRPr="009500DD" w:rsidTr="003B410D">
        <w:trPr>
          <w:trHeight w:val="900"/>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410D" w:rsidRDefault="003B410D" w:rsidP="003B410D">
            <w:pPr>
              <w:spacing w:after="100" w:afterAutospacing="1"/>
              <w:rPr>
                <w:rFonts w:ascii="Calibri" w:hAnsi="Calibri" w:cs="Calibri"/>
                <w:color w:val="000000"/>
              </w:rPr>
            </w:pPr>
            <w:r>
              <w:rPr>
                <w:rFonts w:ascii="Calibri" w:hAnsi="Calibri" w:cs="Calibri"/>
                <w:color w:val="000000"/>
              </w:rPr>
              <w:t>Road length of non-principal roads in Essex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3B410D" w:rsidRDefault="003B410D" w:rsidP="003B410D">
            <w:pPr>
              <w:spacing w:after="100" w:afterAutospacing="1"/>
              <w:rPr>
                <w:rFonts w:ascii="Calibri" w:hAnsi="Calibri" w:cs="Calibri"/>
                <w:color w:val="000000"/>
              </w:rPr>
            </w:pPr>
            <w:r>
              <w:rPr>
                <w:rFonts w:ascii="Calibri" w:hAnsi="Calibri" w:cs="Calibri"/>
                <w:color w:val="000000"/>
              </w:rPr>
              <w:t>140miles</w:t>
            </w:r>
          </w:p>
        </w:tc>
      </w:tr>
    </w:tbl>
    <w:p w:rsidR="009500DD" w:rsidRDefault="009500DD">
      <w:pPr>
        <w:rPr>
          <w:rFonts w:ascii="Segoe UI" w:hAnsi="Segoe UI" w:cs="Segoe UI"/>
        </w:rPr>
      </w:pPr>
    </w:p>
    <w:p w:rsidR="009500DD" w:rsidRDefault="009500DD">
      <w:pPr>
        <w:rPr>
          <w:rFonts w:ascii="Segoe UI" w:hAnsi="Segoe UI" w:cs="Segoe UI"/>
        </w:rPr>
      </w:pPr>
      <w:r w:rsidRPr="009500DD">
        <w:rPr>
          <w:rFonts w:ascii="Segoe UI" w:hAnsi="Segoe UI" w:cs="Segoe UI"/>
        </w:rPr>
        <w:lastRenderedPageBreak/>
        <w:t>Percentage of unclassified roads where maintenance should be considered</w:t>
      </w:r>
    </w:p>
    <w:p w:rsidR="008B21E0" w:rsidRPr="00357E6D" w:rsidRDefault="008B21E0" w:rsidP="008B21E0">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w:t>
      </w:r>
      <w:r>
        <w:rPr>
          <w:rFonts w:ascii="Segoe UI" w:hAnsi="Segoe UI" w:cs="Segoe UI"/>
          <w:i/>
          <w:sz w:val="16"/>
        </w:rPr>
        <w:t>Different survey types between authorities were used in collecting the maintenance data for unclassified roads.  Averages have been calculated on the data as mad</w:t>
      </w:r>
      <w:r w:rsidR="00A75DA5">
        <w:rPr>
          <w:rFonts w:ascii="Segoe UI" w:hAnsi="Segoe UI" w:cs="Segoe UI"/>
          <w:i/>
          <w:sz w:val="16"/>
        </w:rPr>
        <w:t>e available</w:t>
      </w:r>
      <w:r>
        <w:rPr>
          <w:rFonts w:ascii="Segoe UI" w:hAnsi="Segoe UI" w:cs="Segoe UI"/>
          <w:i/>
          <w:sz w:val="16"/>
        </w:rPr>
        <w:t>.</w:t>
      </w:r>
    </w:p>
    <w:p w:rsidR="009500DD" w:rsidRDefault="009500DD">
      <w:pPr>
        <w:rPr>
          <w:rFonts w:ascii="Segoe UI" w:hAnsi="Segoe UI" w:cs="Segoe UI"/>
        </w:rPr>
      </w:pPr>
    </w:p>
    <w:p w:rsidR="009500DD" w:rsidRPr="00630C41" w:rsidRDefault="009500DD">
      <w:pPr>
        <w:rPr>
          <w:rFonts w:ascii="Segoe UI" w:hAnsi="Segoe UI" w:cs="Segoe UI"/>
        </w:rPr>
      </w:pPr>
      <w:r w:rsidRPr="009500DD">
        <w:rPr>
          <w:rFonts w:ascii="Segoe UI" w:hAnsi="Segoe UI" w:cs="Segoe UI"/>
          <w:noProof/>
          <w:lang w:eastAsia="en-GB"/>
        </w:rPr>
        <w:drawing>
          <wp:inline distT="0" distB="0" distL="0" distR="0">
            <wp:extent cx="5943600" cy="2276475"/>
            <wp:effectExtent l="19050" t="0" r="19050" b="0"/>
            <wp:docPr id="100" name="Chart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D711F4" w:rsidRDefault="00D711F4">
      <w:pPr>
        <w:rPr>
          <w:rFonts w:ascii="Segoe UI" w:hAnsi="Segoe UI" w:cs="Segoe UI"/>
          <w:b/>
        </w:rPr>
      </w:pPr>
    </w:p>
    <w:p w:rsidR="003815DA" w:rsidRDefault="003815DA">
      <w:pPr>
        <w:rPr>
          <w:rFonts w:ascii="Segoe UI" w:hAnsi="Segoe UI" w:cs="Segoe UI"/>
          <w:b/>
        </w:rPr>
      </w:pPr>
    </w:p>
    <w:p w:rsidR="00377466" w:rsidRPr="009902B8" w:rsidRDefault="00377466">
      <w:pPr>
        <w:rPr>
          <w:rFonts w:ascii="Segoe UI" w:hAnsi="Segoe UI" w:cs="Segoe UI"/>
          <w:i/>
        </w:rPr>
      </w:pPr>
    </w:p>
    <w:p w:rsidR="00C13421" w:rsidRDefault="00C13421">
      <w:pPr>
        <w:rPr>
          <w:rFonts w:ascii="Segoe UI" w:hAnsi="Segoe UI" w:cs="Segoe UI"/>
          <w:b/>
          <w:u w:val="single"/>
        </w:rPr>
      </w:pPr>
      <w:bookmarkStart w:id="3" w:name="Speed"/>
      <w:bookmarkEnd w:id="3"/>
      <w:r>
        <w:rPr>
          <w:rFonts w:ascii="Segoe UI" w:hAnsi="Segoe UI" w:cs="Segoe UI"/>
          <w:b/>
          <w:u w:val="single"/>
        </w:rPr>
        <w:br w:type="page"/>
      </w:r>
    </w:p>
    <w:p w:rsidR="00500FD5" w:rsidRPr="00153631" w:rsidRDefault="00214346">
      <w:pPr>
        <w:rPr>
          <w:rFonts w:ascii="Segoe UI" w:hAnsi="Segoe UI" w:cs="Segoe UI"/>
          <w:b/>
          <w:u w:val="single"/>
        </w:rPr>
      </w:pPr>
      <w:r>
        <w:rPr>
          <w:rFonts w:ascii="Segoe UI" w:hAnsi="Segoe UI" w:cs="Segoe UI"/>
          <w:b/>
          <w:u w:val="single"/>
        </w:rPr>
        <w:lastRenderedPageBreak/>
        <w:t>Road speed and delay</w:t>
      </w:r>
    </w:p>
    <w:p w:rsidR="00153631" w:rsidRDefault="00153631">
      <w:pPr>
        <w:rPr>
          <w:rFonts w:ascii="Segoe UI" w:hAnsi="Segoe UI" w:cs="Segoe UI"/>
        </w:rPr>
      </w:pPr>
    </w:p>
    <w:p w:rsidR="00EF6F56" w:rsidRDefault="00EF6F56">
      <w:pPr>
        <w:rPr>
          <w:rFonts w:ascii="Segoe UI" w:hAnsi="Segoe UI" w:cs="Segoe UI"/>
        </w:rPr>
      </w:pPr>
      <w:r w:rsidRPr="00EF6F56">
        <w:rPr>
          <w:rFonts w:ascii="Segoe UI" w:hAnsi="Segoe UI" w:cs="Segoe UI"/>
        </w:rPr>
        <w:t>Average speed on local 'A' roads</w:t>
      </w:r>
    </w:p>
    <w:p w:rsidR="00EF6F56" w:rsidRDefault="000E6E0C">
      <w:pPr>
        <w:rPr>
          <w:rFonts w:ascii="Segoe UI" w:hAnsi="Segoe UI" w:cs="Segoe UI"/>
          <w:sz w:val="18"/>
        </w:rPr>
      </w:pPr>
      <w:r w:rsidRPr="000E6E0C">
        <w:rPr>
          <w:rFonts w:ascii="Segoe UI" w:hAnsi="Segoe UI" w:cs="Segoe UI"/>
          <w:sz w:val="18"/>
        </w:rPr>
        <w:t xml:space="preserve">The </w:t>
      </w:r>
      <w:r>
        <w:rPr>
          <w:rFonts w:ascii="Segoe UI" w:hAnsi="Segoe UI" w:cs="Segoe UI"/>
          <w:sz w:val="18"/>
        </w:rPr>
        <w:t xml:space="preserve">average speed </w:t>
      </w:r>
      <w:r w:rsidRPr="000E6E0C">
        <w:rPr>
          <w:rFonts w:ascii="Segoe UI" w:hAnsi="Segoe UI" w:cs="Segoe UI"/>
          <w:sz w:val="18"/>
        </w:rPr>
        <w:t>measure weights speed observations from a sample of vehicles by associated traffic flows so that it is representative of traffic volumes on the roads in different locations and at different times of day.</w:t>
      </w:r>
      <w:r w:rsidR="000A31A2">
        <w:rPr>
          <w:rFonts w:ascii="Segoe UI" w:hAnsi="Segoe UI" w:cs="Segoe UI"/>
          <w:sz w:val="18"/>
        </w:rPr>
        <w:t xml:space="preserve">  </w:t>
      </w:r>
      <w:r w:rsidR="000A31A2" w:rsidRPr="000A31A2">
        <w:rPr>
          <w:rFonts w:ascii="Segoe UI" w:hAnsi="Segoe UI" w:cs="Segoe UI"/>
          <w:sz w:val="18"/>
        </w:rPr>
        <w:t>Travel time observations used to calculate this measure are derived from cars and light vans travel time data only.</w:t>
      </w:r>
      <w:r w:rsidR="000A31A2">
        <w:rPr>
          <w:rFonts w:ascii="Segoe UI" w:hAnsi="Segoe UI" w:cs="Segoe UI"/>
          <w:sz w:val="18"/>
        </w:rPr>
        <w:t xml:space="preserve">  </w:t>
      </w:r>
      <w:r w:rsidR="000A31A2" w:rsidRPr="000A31A2">
        <w:rPr>
          <w:rFonts w:ascii="Segoe UI" w:hAnsi="Segoe UI" w:cs="Segoe UI"/>
          <w:sz w:val="18"/>
        </w:rPr>
        <w:t>All day average speed calculated across the complete 24 hourly period and includes all days (weekdays, weekends, bank holidays etc.)</w:t>
      </w:r>
    </w:p>
    <w:p w:rsidR="000A31A2" w:rsidRPr="000E6E0C"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1" name="Chart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0A31A2" w:rsidRDefault="000A31A2">
      <w:pPr>
        <w:rPr>
          <w:rFonts w:ascii="Segoe UI" w:hAnsi="Segoe UI" w:cs="Segoe UI"/>
        </w:rPr>
      </w:pPr>
      <w:r>
        <w:rPr>
          <w:rFonts w:ascii="Segoe UI" w:hAnsi="Segoe UI" w:cs="Segoe UI"/>
        </w:rPr>
        <w:br w:type="page"/>
      </w:r>
    </w:p>
    <w:p w:rsidR="00EF6F56" w:rsidRDefault="00EF6F56">
      <w:pPr>
        <w:rPr>
          <w:rFonts w:ascii="Segoe UI" w:hAnsi="Segoe UI" w:cs="Segoe UI"/>
        </w:rPr>
      </w:pPr>
      <w:r w:rsidRPr="00EF6F56">
        <w:rPr>
          <w:rFonts w:ascii="Segoe UI" w:hAnsi="Segoe UI" w:cs="Segoe UI"/>
        </w:rPr>
        <w:lastRenderedPageBreak/>
        <w:t>Average delay on locally managed 'A' roads</w:t>
      </w:r>
    </w:p>
    <w:p w:rsidR="00EF6F56" w:rsidRDefault="000A31A2">
      <w:pPr>
        <w:rPr>
          <w:rFonts w:ascii="Segoe UI" w:hAnsi="Segoe UI" w:cs="Segoe UI"/>
          <w:sz w:val="18"/>
        </w:rPr>
      </w:pPr>
      <w:r w:rsidRPr="000A31A2">
        <w:rPr>
          <w:rFonts w:ascii="Segoe UI" w:hAnsi="Segoe UI" w:cs="Segoe UI"/>
          <w:sz w:val="18"/>
        </w:rPr>
        <w:t>Delay is calculated by subtracting derived ‘free flow’ travel times from observed travel times for individual road sections.  Free flow travel times are calculated using the 85th  percentile speed observation for each individual road sections. These are 'capped' at national speed limits.</w:t>
      </w:r>
      <w:r>
        <w:rPr>
          <w:rFonts w:ascii="Segoe UI" w:hAnsi="Segoe UI" w:cs="Segoe UI"/>
          <w:sz w:val="18"/>
        </w:rPr>
        <w:t xml:space="preserve">  </w:t>
      </w:r>
      <w:r w:rsidRPr="000A31A2">
        <w:rPr>
          <w:rFonts w:ascii="Segoe UI" w:hAnsi="Segoe UI" w:cs="Segoe UI"/>
          <w:sz w:val="18"/>
        </w:rPr>
        <w:t>Average delay is calculated by aggregating delay estimates from individual road sections and weighting observations by associated traffic flows so that it is representative of traffic volumes.</w:t>
      </w:r>
      <w:r>
        <w:rPr>
          <w:rFonts w:ascii="Segoe UI" w:hAnsi="Segoe UI" w:cs="Segoe UI"/>
          <w:sz w:val="18"/>
        </w:rPr>
        <w:t xml:space="preserve">  </w:t>
      </w:r>
      <w:r w:rsidRPr="000A31A2">
        <w:rPr>
          <w:rFonts w:ascii="Segoe UI" w:hAnsi="Segoe UI" w:cs="Segoe UI"/>
          <w:sz w:val="18"/>
        </w:rPr>
        <w:t>Travel time observations used to calculate this measure are derived from cars and light vans data only.</w:t>
      </w:r>
      <w:r>
        <w:rPr>
          <w:rFonts w:ascii="Segoe UI" w:hAnsi="Segoe UI" w:cs="Segoe UI"/>
          <w:sz w:val="18"/>
        </w:rPr>
        <w:t xml:space="preserve">  </w:t>
      </w:r>
      <w:r w:rsidRPr="000A31A2">
        <w:rPr>
          <w:rFonts w:ascii="Segoe UI" w:hAnsi="Segoe UI" w:cs="Segoe UI"/>
          <w:sz w:val="18"/>
        </w:rPr>
        <w:t>All day average delay calculated across the complete 24 hourly period and includes all days (weekdays, weekends, bank holidays etc.)</w:t>
      </w:r>
    </w:p>
    <w:p w:rsidR="000A31A2" w:rsidRPr="000A31A2"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2" name="Chart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52568F" w:rsidRDefault="0052568F">
      <w:pPr>
        <w:rPr>
          <w:rFonts w:ascii="Segoe UI" w:hAnsi="Segoe UI" w:cs="Segoe UI"/>
        </w:rPr>
      </w:pPr>
    </w:p>
    <w:p w:rsidR="000A31A2" w:rsidRDefault="000A31A2">
      <w:pPr>
        <w:rPr>
          <w:rFonts w:ascii="Segoe UI" w:hAnsi="Segoe UI" w:cs="Segoe UI"/>
        </w:rPr>
      </w:pPr>
      <w:r>
        <w:rPr>
          <w:rFonts w:ascii="Segoe UI" w:hAnsi="Segoe UI" w:cs="Segoe UI"/>
        </w:rPr>
        <w:br w:type="page"/>
      </w:r>
    </w:p>
    <w:p w:rsidR="00886701" w:rsidRDefault="00214346">
      <w:pPr>
        <w:rPr>
          <w:rFonts w:ascii="Segoe UI" w:hAnsi="Segoe UI" w:cs="Segoe UI"/>
          <w:b/>
          <w:u w:val="single"/>
        </w:rPr>
      </w:pPr>
      <w:bookmarkStart w:id="4" w:name="Walking"/>
      <w:bookmarkEnd w:id="4"/>
      <w:r>
        <w:rPr>
          <w:rFonts w:ascii="Segoe UI" w:hAnsi="Segoe UI" w:cs="Segoe UI"/>
          <w:b/>
          <w:u w:val="single"/>
        </w:rPr>
        <w:lastRenderedPageBreak/>
        <w:t>Walking and cycling</w:t>
      </w:r>
    </w:p>
    <w:p w:rsidR="00CB452F" w:rsidRDefault="00CB452F">
      <w:pPr>
        <w:rPr>
          <w:rFonts w:ascii="Segoe UI" w:hAnsi="Segoe UI" w:cs="Segoe UI"/>
        </w:rPr>
      </w:pPr>
    </w:p>
    <w:p w:rsidR="00162CA7" w:rsidRDefault="00513C6F">
      <w:pPr>
        <w:rPr>
          <w:rFonts w:ascii="Segoe UI" w:hAnsi="Segoe UI" w:cs="Segoe UI"/>
        </w:rPr>
      </w:pPr>
      <w:r>
        <w:rPr>
          <w:rFonts w:ascii="Segoe UI" w:hAnsi="Segoe UI" w:cs="Segoe UI"/>
        </w:rPr>
        <w:t xml:space="preserve">The following charts relate to statistics covering </w:t>
      </w:r>
      <w:r w:rsidRPr="00513C6F">
        <w:rPr>
          <w:rFonts w:ascii="Segoe UI" w:hAnsi="Segoe UI" w:cs="Segoe UI"/>
        </w:rPr>
        <w:t>the time period mid-November 2015 to mid-November 2016.</w:t>
      </w:r>
    </w:p>
    <w:p w:rsidR="00162CA7" w:rsidRDefault="00162CA7">
      <w:pPr>
        <w:rPr>
          <w:rFonts w:ascii="Segoe UI" w:hAnsi="Segoe UI" w:cs="Segoe UI"/>
        </w:rPr>
      </w:pPr>
    </w:p>
    <w:p w:rsidR="00602484" w:rsidRDefault="00602484">
      <w:pPr>
        <w:rPr>
          <w:rFonts w:ascii="Segoe UI" w:hAnsi="Segoe UI" w:cs="Segoe UI"/>
        </w:rPr>
      </w:pPr>
    </w:p>
    <w:p w:rsidR="00CB452F"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602484" w:rsidRDefault="00602484">
      <w:pPr>
        <w:rPr>
          <w:rFonts w:ascii="Segoe UI" w:hAnsi="Segoe UI" w:cs="Segoe UI"/>
        </w:rPr>
      </w:pPr>
    </w:p>
    <w:p w:rsidR="00417448" w:rsidRDefault="00162CA7">
      <w:pPr>
        <w:rPr>
          <w:rFonts w:ascii="Segoe UI" w:hAnsi="Segoe UI" w:cs="Segoe UI"/>
        </w:rPr>
      </w:pPr>
      <w:r>
        <w:rPr>
          <w:rFonts w:ascii="Segoe UI" w:hAnsi="Segoe UI" w:cs="Segoe UI"/>
        </w:rPr>
        <w:t xml:space="preserve">Walking in the above analysis refers to any </w:t>
      </w:r>
      <w:r w:rsidRPr="00162CA7">
        <w:rPr>
          <w:rFonts w:ascii="Segoe UI" w:hAnsi="Segoe UI" w:cs="Segoe UI"/>
        </w:rPr>
        <w:t>continuous walk of over 10 minutes, irrespective of purpose</w:t>
      </w:r>
      <w:r>
        <w:rPr>
          <w:rFonts w:ascii="Segoe UI" w:hAnsi="Segoe UI" w:cs="Segoe UI"/>
        </w:rPr>
        <w:t xml:space="preserve">.  Cycling in this analysis </w:t>
      </w:r>
      <w:r w:rsidRPr="00162CA7">
        <w:rPr>
          <w:rFonts w:ascii="Segoe UI" w:hAnsi="Segoe UI" w:cs="Segoe UI"/>
        </w:rPr>
        <w:t>refers to any cycling, irrespective of length or purpose.</w:t>
      </w:r>
    </w:p>
    <w:p w:rsidR="00162CA7" w:rsidRDefault="00162CA7">
      <w:pPr>
        <w:rPr>
          <w:rFonts w:ascii="Segoe UI" w:hAnsi="Segoe UI" w:cs="Segoe UI"/>
        </w:rPr>
      </w:pPr>
    </w:p>
    <w:p w:rsidR="00602484" w:rsidRDefault="00602484">
      <w:pPr>
        <w:rPr>
          <w:rFonts w:ascii="Segoe UI" w:hAnsi="Segoe UI" w:cs="Segoe UI"/>
        </w:rPr>
      </w:pPr>
      <w:r>
        <w:rPr>
          <w:rFonts w:ascii="Segoe UI" w:hAnsi="Segoe UI" w:cs="Segoe UI"/>
        </w:rPr>
        <w:br w:type="page"/>
      </w:r>
    </w:p>
    <w:p w:rsidR="00162CA7" w:rsidRDefault="00E57E59">
      <w:pPr>
        <w:rPr>
          <w:rFonts w:ascii="Segoe UI" w:hAnsi="Segoe UI" w:cs="Segoe UI"/>
        </w:rPr>
      </w:pPr>
      <w:r>
        <w:rPr>
          <w:rFonts w:ascii="Segoe UI" w:hAnsi="Segoe UI" w:cs="Segoe UI"/>
        </w:rPr>
        <w:lastRenderedPageBreak/>
        <w:t>Cycling</w:t>
      </w:r>
      <w:r w:rsidRPr="00E57E59">
        <w:rPr>
          <w:rFonts w:ascii="Segoe UI" w:hAnsi="Segoe UI" w:cs="Segoe UI"/>
        </w:rPr>
        <w:t xml:space="preserve"> in th</w:t>
      </w:r>
      <w:r>
        <w:rPr>
          <w:rFonts w:ascii="Segoe UI" w:hAnsi="Segoe UI" w:cs="Segoe UI"/>
        </w:rPr>
        <w:t>e following charts</w:t>
      </w:r>
      <w:r w:rsidRPr="00E57E59">
        <w:rPr>
          <w:rFonts w:ascii="Segoe UI" w:hAnsi="Segoe UI" w:cs="Segoe UI"/>
        </w:rPr>
        <w:t xml:space="preserve"> refers to any cycling, irrespective of length or purpose</w:t>
      </w:r>
      <w:r>
        <w:rPr>
          <w:rFonts w:ascii="Segoe UI" w:hAnsi="Segoe UI" w:cs="Segoe UI"/>
        </w:rPr>
        <w:t xml:space="preserve"> and leisure </w:t>
      </w:r>
      <w:r w:rsidRPr="00E57E59">
        <w:rPr>
          <w:rFonts w:ascii="Segoe UI" w:hAnsi="Segoe UI" w:cs="Segoe UI"/>
        </w:rPr>
        <w:t>refers to cycling for the purpose of health, recreation, training or competition, not to get from place to place.</w:t>
      </w:r>
    </w:p>
    <w:p w:rsidR="00E57E59" w:rsidRDefault="00E57E59">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417448" w:rsidRDefault="00417448">
      <w:pPr>
        <w:rPr>
          <w:rFonts w:ascii="Segoe UI" w:hAnsi="Segoe UI" w:cs="Segoe UI"/>
        </w:rPr>
      </w:pPr>
    </w:p>
    <w:p w:rsidR="00E57E59" w:rsidRDefault="00E57E59">
      <w:pPr>
        <w:rPr>
          <w:rFonts w:ascii="Segoe UI" w:hAnsi="Segoe UI" w:cs="Segoe UI"/>
        </w:rPr>
      </w:pPr>
      <w:r>
        <w:rPr>
          <w:rFonts w:ascii="Segoe UI" w:hAnsi="Segoe UI" w:cs="Segoe UI"/>
        </w:rPr>
        <w:br w:type="page"/>
      </w:r>
    </w:p>
    <w:p w:rsidR="00E57E59" w:rsidRDefault="00E57E59">
      <w:pPr>
        <w:rPr>
          <w:rFonts w:ascii="Segoe UI" w:hAnsi="Segoe UI" w:cs="Segoe UI"/>
        </w:rPr>
      </w:pPr>
      <w:r>
        <w:rPr>
          <w:rFonts w:ascii="Segoe UI" w:hAnsi="Segoe UI" w:cs="Segoe UI"/>
        </w:rPr>
        <w:lastRenderedPageBreak/>
        <w:t>Walking in the following</w:t>
      </w:r>
      <w:r w:rsidRPr="00E57E59">
        <w:rPr>
          <w:rFonts w:ascii="Segoe UI" w:hAnsi="Segoe UI" w:cs="Segoe UI"/>
        </w:rPr>
        <w:t xml:space="preserve"> </w:t>
      </w:r>
      <w:r>
        <w:rPr>
          <w:rFonts w:ascii="Segoe UI" w:hAnsi="Segoe UI" w:cs="Segoe UI"/>
        </w:rPr>
        <w:t>charts</w:t>
      </w:r>
      <w:r w:rsidRPr="00E57E59">
        <w:rPr>
          <w:rFonts w:ascii="Segoe UI" w:hAnsi="Segoe UI" w:cs="Segoe UI"/>
        </w:rPr>
        <w:t xml:space="preserve"> refers to any continuous wal</w:t>
      </w:r>
      <w:r>
        <w:rPr>
          <w:rFonts w:ascii="Segoe UI" w:hAnsi="Segoe UI" w:cs="Segoe UI"/>
        </w:rPr>
        <w:t>k of over 10 minutes, and l</w:t>
      </w:r>
      <w:r w:rsidRPr="00E57E59">
        <w:rPr>
          <w:rFonts w:ascii="Segoe UI" w:hAnsi="Segoe UI" w:cs="Segoe UI"/>
        </w:rPr>
        <w:t>eisure refers to walking for the purpose of health, recreation, training or competition, not to get from place to place.</w:t>
      </w:r>
    </w:p>
    <w:p w:rsidR="00602484" w:rsidRDefault="00602484">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9579D3" w:rsidRDefault="009579D3">
      <w:pPr>
        <w:rPr>
          <w:rFonts w:ascii="Segoe UI" w:hAnsi="Segoe UI" w:cs="Segoe UI"/>
        </w:rPr>
      </w:pPr>
    </w:p>
    <w:p w:rsidR="00E7007C" w:rsidRDefault="00E7007C">
      <w:pPr>
        <w:rPr>
          <w:rFonts w:ascii="Segoe UI" w:hAnsi="Segoe UI" w:cs="Segoe UI"/>
        </w:rPr>
      </w:pPr>
    </w:p>
    <w:p w:rsidR="00CB452F" w:rsidRDefault="00CB452F">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Pr="00C07765" w:rsidRDefault="000158B1">
      <w:pPr>
        <w:rPr>
          <w:rFonts w:ascii="Segoe UI" w:hAnsi="Segoe UI" w:cs="Segoe UI"/>
        </w:rPr>
      </w:pPr>
      <w:r w:rsidRPr="00C07765">
        <w:rPr>
          <w:rFonts w:ascii="Segoe UI" w:hAnsi="Segoe UI" w:cs="Segoe UI"/>
        </w:rPr>
        <w:t>Department for Transport s</w:t>
      </w:r>
      <w:r w:rsidR="00E07698" w:rsidRPr="00C07765">
        <w:rPr>
          <w:rFonts w:ascii="Segoe UI" w:hAnsi="Segoe UI" w:cs="Segoe UI"/>
        </w:rPr>
        <w:t xml:space="preserve">tatistics - </w:t>
      </w:r>
      <w:r w:rsidRPr="00C07765">
        <w:rPr>
          <w:rFonts w:ascii="Segoe UI" w:hAnsi="Segoe UI" w:cs="Segoe UI"/>
        </w:rPr>
        <w:t xml:space="preserve">Journey Time Statistics, </w:t>
      </w:r>
      <w:r w:rsidR="009E5806" w:rsidRPr="00C07765">
        <w:rPr>
          <w:rFonts w:ascii="Segoe UI" w:hAnsi="Segoe UI" w:cs="Segoe UI"/>
        </w:rPr>
        <w:t>Table</w:t>
      </w:r>
      <w:r w:rsidRPr="00C07765">
        <w:rPr>
          <w:rFonts w:ascii="Segoe UI" w:hAnsi="Segoe UI" w:cs="Segoe UI"/>
        </w:rPr>
        <w:t>s</w:t>
      </w:r>
      <w:r w:rsidR="009E5806" w:rsidRPr="00C07765">
        <w:rPr>
          <w:rFonts w:ascii="Segoe UI" w:hAnsi="Segoe UI" w:cs="Segoe UI"/>
        </w:rPr>
        <w:t xml:space="preserve"> </w:t>
      </w:r>
      <w:r w:rsidRPr="00C07765">
        <w:rPr>
          <w:rFonts w:ascii="Segoe UI" w:hAnsi="Segoe UI" w:cs="Segoe UI"/>
        </w:rPr>
        <w:t>JTS0401 to JTS0409</w:t>
      </w:r>
    </w:p>
    <w:p w:rsidR="00FE0842" w:rsidRPr="00C07765" w:rsidRDefault="000158B1">
      <w:pPr>
        <w:rPr>
          <w:rFonts w:ascii="Segoe UI" w:hAnsi="Segoe UI" w:cs="Segoe UI"/>
        </w:rPr>
      </w:pPr>
      <w:r w:rsidRPr="00C07765">
        <w:rPr>
          <w:rFonts w:ascii="Segoe UI" w:hAnsi="Segoe UI" w:cs="Segoe UI"/>
        </w:rPr>
        <w:t>Department for Transport statistics</w:t>
      </w:r>
      <w:r w:rsidR="009E5806" w:rsidRPr="00C07765">
        <w:rPr>
          <w:rFonts w:ascii="Segoe UI" w:hAnsi="Segoe UI" w:cs="Segoe UI"/>
        </w:rPr>
        <w:t xml:space="preserve"> - </w:t>
      </w:r>
      <w:r w:rsidRPr="00C07765">
        <w:rPr>
          <w:rFonts w:ascii="Segoe UI" w:hAnsi="Segoe UI" w:cs="Segoe UI"/>
        </w:rPr>
        <w:t>Vehicle Traffic and Flow, Tables TRA8901, 8902, 8903, 8907</w:t>
      </w:r>
    </w:p>
    <w:p w:rsidR="00727708" w:rsidRPr="00C07765" w:rsidRDefault="00727708">
      <w:pPr>
        <w:rPr>
          <w:rFonts w:ascii="Segoe UI" w:hAnsi="Segoe UI" w:cs="Segoe UI"/>
        </w:rPr>
      </w:pPr>
      <w:r w:rsidRPr="00C07765">
        <w:rPr>
          <w:rFonts w:ascii="Segoe UI" w:hAnsi="Segoe UI" w:cs="Segoe UI"/>
        </w:rPr>
        <w:t>Department for Transport statistics - Total Road Length, Table RDL0102a</w:t>
      </w:r>
    </w:p>
    <w:p w:rsidR="00727708" w:rsidRPr="00C07765" w:rsidRDefault="00727708" w:rsidP="00727708">
      <w:pPr>
        <w:rPr>
          <w:rFonts w:ascii="Segoe UI" w:hAnsi="Segoe UI" w:cs="Segoe UI"/>
        </w:rPr>
      </w:pPr>
      <w:r w:rsidRPr="00C07765">
        <w:rPr>
          <w:rFonts w:ascii="Segoe UI" w:hAnsi="Segoe UI" w:cs="Segoe UI"/>
        </w:rPr>
        <w:t xml:space="preserve">Department for Transport statistics - </w:t>
      </w:r>
      <w:r w:rsidR="00246E3A" w:rsidRPr="00C07765">
        <w:rPr>
          <w:rFonts w:ascii="Segoe UI" w:hAnsi="Segoe UI" w:cs="Segoe UI"/>
        </w:rPr>
        <w:t>Classified roads where maintenance should be considered, Table RDL0120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C07765" w:rsidP="00727708">
      <w:pPr>
        <w:rPr>
          <w:rFonts w:ascii="Segoe UI" w:hAnsi="Segoe UI" w:cs="Segoe UI"/>
        </w:rPr>
      </w:pPr>
      <w:r w:rsidRPr="00C07765">
        <w:rPr>
          <w:rFonts w:ascii="Segoe UI" w:hAnsi="Segoe UI" w:cs="Segoe UI"/>
        </w:rPr>
        <w:t>Department for Transport statistics - Average speed on local 'A' roads, Table CGN0501</w:t>
      </w:r>
    </w:p>
    <w:p w:rsidR="00C07765" w:rsidRDefault="00C07765" w:rsidP="00C07765">
      <w:pPr>
        <w:rPr>
          <w:rFonts w:ascii="Segoe UI" w:hAnsi="Segoe UI" w:cs="Segoe UI"/>
        </w:rPr>
      </w:pPr>
      <w:r w:rsidRPr="00C07765">
        <w:rPr>
          <w:rFonts w:ascii="Segoe UI" w:hAnsi="Segoe UI" w:cs="Segoe UI"/>
        </w:rPr>
        <w:t>Department for Transport statistics - Average delay on local 'A' roads, Table CGN0502</w:t>
      </w:r>
    </w:p>
    <w:p w:rsidR="00D9047C" w:rsidRPr="00C07765" w:rsidRDefault="00D9047C" w:rsidP="00C07765">
      <w:pPr>
        <w:rPr>
          <w:rFonts w:ascii="Segoe UI" w:hAnsi="Segoe UI" w:cs="Segoe UI"/>
        </w:rPr>
      </w:pPr>
      <w:r w:rsidRPr="00C07765">
        <w:rPr>
          <w:rFonts w:ascii="Segoe UI" w:hAnsi="Segoe UI" w:cs="Segoe UI"/>
        </w:rPr>
        <w:t>Department for Transport statistics -</w:t>
      </w:r>
      <w:r>
        <w:rPr>
          <w:rFonts w:ascii="Segoe UI" w:hAnsi="Segoe UI" w:cs="Segoe UI"/>
        </w:rPr>
        <w:t xml:space="preserve"> Walking and Cycling Statistics, Tables CW0301, 0302, 0303</w:t>
      </w:r>
    </w:p>
    <w:sectPr w:rsidR="00D9047C" w:rsidRPr="00C07765"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0A4"/>
    <w:rsid w:val="000054D5"/>
    <w:rsid w:val="000158B1"/>
    <w:rsid w:val="000174B7"/>
    <w:rsid w:val="00023D6D"/>
    <w:rsid w:val="0002682D"/>
    <w:rsid w:val="00034AE0"/>
    <w:rsid w:val="00042BD7"/>
    <w:rsid w:val="0004365F"/>
    <w:rsid w:val="00046448"/>
    <w:rsid w:val="00046FC3"/>
    <w:rsid w:val="00047B6E"/>
    <w:rsid w:val="00054C2A"/>
    <w:rsid w:val="00057D91"/>
    <w:rsid w:val="00061590"/>
    <w:rsid w:val="0007288F"/>
    <w:rsid w:val="00073826"/>
    <w:rsid w:val="00075447"/>
    <w:rsid w:val="00077094"/>
    <w:rsid w:val="000A1169"/>
    <w:rsid w:val="000A1E62"/>
    <w:rsid w:val="000A2068"/>
    <w:rsid w:val="000A253B"/>
    <w:rsid w:val="000A31A2"/>
    <w:rsid w:val="000A52B2"/>
    <w:rsid w:val="000B3BB2"/>
    <w:rsid w:val="000B410A"/>
    <w:rsid w:val="000D1137"/>
    <w:rsid w:val="000D57F2"/>
    <w:rsid w:val="000D6B86"/>
    <w:rsid w:val="000D7426"/>
    <w:rsid w:val="000E0225"/>
    <w:rsid w:val="000E2973"/>
    <w:rsid w:val="000E6E0C"/>
    <w:rsid w:val="000F05A5"/>
    <w:rsid w:val="000F446C"/>
    <w:rsid w:val="00111193"/>
    <w:rsid w:val="001157F0"/>
    <w:rsid w:val="00123766"/>
    <w:rsid w:val="001258FF"/>
    <w:rsid w:val="00136993"/>
    <w:rsid w:val="00137983"/>
    <w:rsid w:val="001458E3"/>
    <w:rsid w:val="00152A66"/>
    <w:rsid w:val="00153614"/>
    <w:rsid w:val="00153631"/>
    <w:rsid w:val="00154234"/>
    <w:rsid w:val="00162CA7"/>
    <w:rsid w:val="00163203"/>
    <w:rsid w:val="00163DF2"/>
    <w:rsid w:val="00170CCD"/>
    <w:rsid w:val="00171D21"/>
    <w:rsid w:val="001779A1"/>
    <w:rsid w:val="001818B2"/>
    <w:rsid w:val="00182EBD"/>
    <w:rsid w:val="0018549B"/>
    <w:rsid w:val="00190253"/>
    <w:rsid w:val="00192701"/>
    <w:rsid w:val="001977B6"/>
    <w:rsid w:val="001A1D5B"/>
    <w:rsid w:val="001A332C"/>
    <w:rsid w:val="001B2382"/>
    <w:rsid w:val="001B2B01"/>
    <w:rsid w:val="001C4F6D"/>
    <w:rsid w:val="001C52DE"/>
    <w:rsid w:val="001D6CB6"/>
    <w:rsid w:val="001E09A4"/>
    <w:rsid w:val="001E7C97"/>
    <w:rsid w:val="001F32CF"/>
    <w:rsid w:val="001F4A28"/>
    <w:rsid w:val="001F5674"/>
    <w:rsid w:val="00203D05"/>
    <w:rsid w:val="00205C7F"/>
    <w:rsid w:val="00212307"/>
    <w:rsid w:val="00214346"/>
    <w:rsid w:val="002143A4"/>
    <w:rsid w:val="0021628D"/>
    <w:rsid w:val="00220E3E"/>
    <w:rsid w:val="002211F3"/>
    <w:rsid w:val="00230193"/>
    <w:rsid w:val="00230CF6"/>
    <w:rsid w:val="002348E6"/>
    <w:rsid w:val="002408BD"/>
    <w:rsid w:val="0024527D"/>
    <w:rsid w:val="00246E3A"/>
    <w:rsid w:val="00247483"/>
    <w:rsid w:val="00256D31"/>
    <w:rsid w:val="00257FBA"/>
    <w:rsid w:val="002651E1"/>
    <w:rsid w:val="00274ED9"/>
    <w:rsid w:val="002B39D0"/>
    <w:rsid w:val="002C13E8"/>
    <w:rsid w:val="002C6BB4"/>
    <w:rsid w:val="002D204E"/>
    <w:rsid w:val="002D62CB"/>
    <w:rsid w:val="002E57EA"/>
    <w:rsid w:val="002F3E91"/>
    <w:rsid w:val="00300A54"/>
    <w:rsid w:val="0032648E"/>
    <w:rsid w:val="00326C5A"/>
    <w:rsid w:val="0033684A"/>
    <w:rsid w:val="00336CE0"/>
    <w:rsid w:val="00340480"/>
    <w:rsid w:val="00340CF5"/>
    <w:rsid w:val="00344742"/>
    <w:rsid w:val="003501F6"/>
    <w:rsid w:val="00353545"/>
    <w:rsid w:val="003555C6"/>
    <w:rsid w:val="00357E6D"/>
    <w:rsid w:val="00360FD9"/>
    <w:rsid w:val="00366F30"/>
    <w:rsid w:val="00377466"/>
    <w:rsid w:val="00381326"/>
    <w:rsid w:val="003815DA"/>
    <w:rsid w:val="00383CA1"/>
    <w:rsid w:val="003878B8"/>
    <w:rsid w:val="003965DC"/>
    <w:rsid w:val="003A18D3"/>
    <w:rsid w:val="003A61C3"/>
    <w:rsid w:val="003B410D"/>
    <w:rsid w:val="003B5117"/>
    <w:rsid w:val="003C135F"/>
    <w:rsid w:val="003C1462"/>
    <w:rsid w:val="003C3F77"/>
    <w:rsid w:val="003C40D8"/>
    <w:rsid w:val="003C7266"/>
    <w:rsid w:val="003C7651"/>
    <w:rsid w:val="003D7517"/>
    <w:rsid w:val="003E0AA8"/>
    <w:rsid w:val="003E7C4A"/>
    <w:rsid w:val="004033DF"/>
    <w:rsid w:val="00410370"/>
    <w:rsid w:val="00415E18"/>
    <w:rsid w:val="004167EC"/>
    <w:rsid w:val="00417448"/>
    <w:rsid w:val="00422A00"/>
    <w:rsid w:val="00427EEE"/>
    <w:rsid w:val="00443081"/>
    <w:rsid w:val="00443F34"/>
    <w:rsid w:val="00445CF6"/>
    <w:rsid w:val="00451FF7"/>
    <w:rsid w:val="00452B0C"/>
    <w:rsid w:val="004623CF"/>
    <w:rsid w:val="004627B5"/>
    <w:rsid w:val="00465750"/>
    <w:rsid w:val="0046620E"/>
    <w:rsid w:val="00466CD4"/>
    <w:rsid w:val="004737C5"/>
    <w:rsid w:val="00475274"/>
    <w:rsid w:val="00477C88"/>
    <w:rsid w:val="00484359"/>
    <w:rsid w:val="004972B9"/>
    <w:rsid w:val="0049789F"/>
    <w:rsid w:val="004A1C29"/>
    <w:rsid w:val="004A3EBA"/>
    <w:rsid w:val="004A44E1"/>
    <w:rsid w:val="004B4BE1"/>
    <w:rsid w:val="004C095C"/>
    <w:rsid w:val="004C2A1C"/>
    <w:rsid w:val="004C39D5"/>
    <w:rsid w:val="004D3814"/>
    <w:rsid w:val="004E747D"/>
    <w:rsid w:val="004F4216"/>
    <w:rsid w:val="004F53EE"/>
    <w:rsid w:val="00500FD5"/>
    <w:rsid w:val="00506AD4"/>
    <w:rsid w:val="00506E62"/>
    <w:rsid w:val="00510624"/>
    <w:rsid w:val="00513BB9"/>
    <w:rsid w:val="00513C6F"/>
    <w:rsid w:val="00516AA7"/>
    <w:rsid w:val="00517C92"/>
    <w:rsid w:val="0052568F"/>
    <w:rsid w:val="00525FC6"/>
    <w:rsid w:val="0054588F"/>
    <w:rsid w:val="00545A25"/>
    <w:rsid w:val="0054613A"/>
    <w:rsid w:val="00555F9F"/>
    <w:rsid w:val="00557B7F"/>
    <w:rsid w:val="0057388A"/>
    <w:rsid w:val="00575E1E"/>
    <w:rsid w:val="00580911"/>
    <w:rsid w:val="0058264D"/>
    <w:rsid w:val="00587D4E"/>
    <w:rsid w:val="005947D7"/>
    <w:rsid w:val="00595B2F"/>
    <w:rsid w:val="00597019"/>
    <w:rsid w:val="005B3009"/>
    <w:rsid w:val="005B3FA2"/>
    <w:rsid w:val="005B6A98"/>
    <w:rsid w:val="005C095A"/>
    <w:rsid w:val="005C33B2"/>
    <w:rsid w:val="005D01AA"/>
    <w:rsid w:val="005D523F"/>
    <w:rsid w:val="005D6CB1"/>
    <w:rsid w:val="00600EBE"/>
    <w:rsid w:val="00602484"/>
    <w:rsid w:val="00604F05"/>
    <w:rsid w:val="0060780B"/>
    <w:rsid w:val="00614B35"/>
    <w:rsid w:val="00616D21"/>
    <w:rsid w:val="006245BC"/>
    <w:rsid w:val="00630C41"/>
    <w:rsid w:val="006464CF"/>
    <w:rsid w:val="0065405D"/>
    <w:rsid w:val="00656E85"/>
    <w:rsid w:val="00662CDA"/>
    <w:rsid w:val="00665AAB"/>
    <w:rsid w:val="00667399"/>
    <w:rsid w:val="00672976"/>
    <w:rsid w:val="00675025"/>
    <w:rsid w:val="00680313"/>
    <w:rsid w:val="00680CB9"/>
    <w:rsid w:val="0068362E"/>
    <w:rsid w:val="00692E85"/>
    <w:rsid w:val="006931D7"/>
    <w:rsid w:val="006A128F"/>
    <w:rsid w:val="006A3967"/>
    <w:rsid w:val="006A58A6"/>
    <w:rsid w:val="006C5ECC"/>
    <w:rsid w:val="006D1E0C"/>
    <w:rsid w:val="006D46D6"/>
    <w:rsid w:val="006D623B"/>
    <w:rsid w:val="006D63A2"/>
    <w:rsid w:val="006D6F09"/>
    <w:rsid w:val="006E0A15"/>
    <w:rsid w:val="006E1F1B"/>
    <w:rsid w:val="006F2C9A"/>
    <w:rsid w:val="006F4B5C"/>
    <w:rsid w:val="006F4FD3"/>
    <w:rsid w:val="006F62FD"/>
    <w:rsid w:val="006F75BA"/>
    <w:rsid w:val="0070182B"/>
    <w:rsid w:val="00702B26"/>
    <w:rsid w:val="00707CEB"/>
    <w:rsid w:val="00715809"/>
    <w:rsid w:val="00715D9D"/>
    <w:rsid w:val="00717F61"/>
    <w:rsid w:val="00727708"/>
    <w:rsid w:val="00730DEC"/>
    <w:rsid w:val="00731414"/>
    <w:rsid w:val="007404AB"/>
    <w:rsid w:val="00751EDB"/>
    <w:rsid w:val="00753243"/>
    <w:rsid w:val="0075601D"/>
    <w:rsid w:val="0076396B"/>
    <w:rsid w:val="00765529"/>
    <w:rsid w:val="007659CF"/>
    <w:rsid w:val="007669F4"/>
    <w:rsid w:val="00784950"/>
    <w:rsid w:val="00786635"/>
    <w:rsid w:val="007909EB"/>
    <w:rsid w:val="007929B2"/>
    <w:rsid w:val="00796FB4"/>
    <w:rsid w:val="007B5629"/>
    <w:rsid w:val="007C052F"/>
    <w:rsid w:val="007C397F"/>
    <w:rsid w:val="007C6015"/>
    <w:rsid w:val="007D3509"/>
    <w:rsid w:val="007D4BF5"/>
    <w:rsid w:val="007E0505"/>
    <w:rsid w:val="007E65D3"/>
    <w:rsid w:val="007F5F54"/>
    <w:rsid w:val="007F66C5"/>
    <w:rsid w:val="007F7192"/>
    <w:rsid w:val="008003D4"/>
    <w:rsid w:val="008011D2"/>
    <w:rsid w:val="008211F5"/>
    <w:rsid w:val="00826B10"/>
    <w:rsid w:val="0083304D"/>
    <w:rsid w:val="00843934"/>
    <w:rsid w:val="008447A6"/>
    <w:rsid w:val="00855650"/>
    <w:rsid w:val="008576ED"/>
    <w:rsid w:val="008615B3"/>
    <w:rsid w:val="00863A32"/>
    <w:rsid w:val="00866A72"/>
    <w:rsid w:val="0086703C"/>
    <w:rsid w:val="00867BF8"/>
    <w:rsid w:val="00870CC8"/>
    <w:rsid w:val="00871D69"/>
    <w:rsid w:val="00884EF2"/>
    <w:rsid w:val="00886701"/>
    <w:rsid w:val="00886FEC"/>
    <w:rsid w:val="00890675"/>
    <w:rsid w:val="0089357E"/>
    <w:rsid w:val="008953FB"/>
    <w:rsid w:val="008A1121"/>
    <w:rsid w:val="008B21E0"/>
    <w:rsid w:val="008C01F1"/>
    <w:rsid w:val="008C071D"/>
    <w:rsid w:val="008C64F0"/>
    <w:rsid w:val="008C78B5"/>
    <w:rsid w:val="008D1139"/>
    <w:rsid w:val="008D3C0F"/>
    <w:rsid w:val="008D66C0"/>
    <w:rsid w:val="008E22DA"/>
    <w:rsid w:val="008E2C36"/>
    <w:rsid w:val="008F0E11"/>
    <w:rsid w:val="008F3CBB"/>
    <w:rsid w:val="00912EBB"/>
    <w:rsid w:val="0091597E"/>
    <w:rsid w:val="00926DC5"/>
    <w:rsid w:val="009436EB"/>
    <w:rsid w:val="009500DD"/>
    <w:rsid w:val="009504FF"/>
    <w:rsid w:val="009528EC"/>
    <w:rsid w:val="00952B99"/>
    <w:rsid w:val="009576E7"/>
    <w:rsid w:val="009579D3"/>
    <w:rsid w:val="00961B9D"/>
    <w:rsid w:val="00962398"/>
    <w:rsid w:val="009630F1"/>
    <w:rsid w:val="00963129"/>
    <w:rsid w:val="00963EAA"/>
    <w:rsid w:val="00965EE3"/>
    <w:rsid w:val="009676E3"/>
    <w:rsid w:val="009867B6"/>
    <w:rsid w:val="009902B8"/>
    <w:rsid w:val="009906DD"/>
    <w:rsid w:val="00991510"/>
    <w:rsid w:val="009B0857"/>
    <w:rsid w:val="009B632B"/>
    <w:rsid w:val="009B687B"/>
    <w:rsid w:val="009C4491"/>
    <w:rsid w:val="009C795C"/>
    <w:rsid w:val="009D5C2F"/>
    <w:rsid w:val="009E23B5"/>
    <w:rsid w:val="009E5806"/>
    <w:rsid w:val="009F4C94"/>
    <w:rsid w:val="00A012FC"/>
    <w:rsid w:val="00A02536"/>
    <w:rsid w:val="00A118E9"/>
    <w:rsid w:val="00A16075"/>
    <w:rsid w:val="00A22EF5"/>
    <w:rsid w:val="00A3620F"/>
    <w:rsid w:val="00A3775B"/>
    <w:rsid w:val="00A3780F"/>
    <w:rsid w:val="00A44C1F"/>
    <w:rsid w:val="00A504D8"/>
    <w:rsid w:val="00A55118"/>
    <w:rsid w:val="00A567A9"/>
    <w:rsid w:val="00A57F92"/>
    <w:rsid w:val="00A61248"/>
    <w:rsid w:val="00A67FA7"/>
    <w:rsid w:val="00A75DA5"/>
    <w:rsid w:val="00A8038C"/>
    <w:rsid w:val="00AA1C54"/>
    <w:rsid w:val="00AA40CB"/>
    <w:rsid w:val="00AA4EAF"/>
    <w:rsid w:val="00AB2003"/>
    <w:rsid w:val="00AB51B9"/>
    <w:rsid w:val="00AC18BA"/>
    <w:rsid w:val="00AC7A51"/>
    <w:rsid w:val="00AD10D9"/>
    <w:rsid w:val="00AE3362"/>
    <w:rsid w:val="00AF0048"/>
    <w:rsid w:val="00B14FB6"/>
    <w:rsid w:val="00B41079"/>
    <w:rsid w:val="00B4609A"/>
    <w:rsid w:val="00B66EC4"/>
    <w:rsid w:val="00B71733"/>
    <w:rsid w:val="00B7287F"/>
    <w:rsid w:val="00B82315"/>
    <w:rsid w:val="00B84331"/>
    <w:rsid w:val="00B928CD"/>
    <w:rsid w:val="00B967F2"/>
    <w:rsid w:val="00BA5521"/>
    <w:rsid w:val="00BB01EE"/>
    <w:rsid w:val="00BC7186"/>
    <w:rsid w:val="00BD2048"/>
    <w:rsid w:val="00BD2351"/>
    <w:rsid w:val="00BD72DF"/>
    <w:rsid w:val="00BE0C65"/>
    <w:rsid w:val="00BE32D1"/>
    <w:rsid w:val="00BE3B1E"/>
    <w:rsid w:val="00BE4633"/>
    <w:rsid w:val="00BE63C8"/>
    <w:rsid w:val="00BF0BE9"/>
    <w:rsid w:val="00BF44B3"/>
    <w:rsid w:val="00BF4619"/>
    <w:rsid w:val="00C027BE"/>
    <w:rsid w:val="00C07765"/>
    <w:rsid w:val="00C116E2"/>
    <w:rsid w:val="00C13421"/>
    <w:rsid w:val="00C26302"/>
    <w:rsid w:val="00C27833"/>
    <w:rsid w:val="00C31933"/>
    <w:rsid w:val="00C33EE4"/>
    <w:rsid w:val="00C345EF"/>
    <w:rsid w:val="00C359CC"/>
    <w:rsid w:val="00C427E1"/>
    <w:rsid w:val="00C43302"/>
    <w:rsid w:val="00C60E60"/>
    <w:rsid w:val="00C62E3C"/>
    <w:rsid w:val="00C63A68"/>
    <w:rsid w:val="00C66719"/>
    <w:rsid w:val="00C83D32"/>
    <w:rsid w:val="00C84D17"/>
    <w:rsid w:val="00C85FB2"/>
    <w:rsid w:val="00C9139A"/>
    <w:rsid w:val="00CA08E1"/>
    <w:rsid w:val="00CA0B05"/>
    <w:rsid w:val="00CB452F"/>
    <w:rsid w:val="00CB4C8D"/>
    <w:rsid w:val="00CB7598"/>
    <w:rsid w:val="00CD17F8"/>
    <w:rsid w:val="00CD5305"/>
    <w:rsid w:val="00CE1A68"/>
    <w:rsid w:val="00CF207D"/>
    <w:rsid w:val="00CF3F55"/>
    <w:rsid w:val="00CF7E07"/>
    <w:rsid w:val="00D032A8"/>
    <w:rsid w:val="00D1146E"/>
    <w:rsid w:val="00D170C3"/>
    <w:rsid w:val="00D30E36"/>
    <w:rsid w:val="00D31FBD"/>
    <w:rsid w:val="00D32C9E"/>
    <w:rsid w:val="00D34678"/>
    <w:rsid w:val="00D3717A"/>
    <w:rsid w:val="00D43F68"/>
    <w:rsid w:val="00D44CBB"/>
    <w:rsid w:val="00D50264"/>
    <w:rsid w:val="00D51F64"/>
    <w:rsid w:val="00D60E26"/>
    <w:rsid w:val="00D61059"/>
    <w:rsid w:val="00D625BB"/>
    <w:rsid w:val="00D711F4"/>
    <w:rsid w:val="00D72DD5"/>
    <w:rsid w:val="00D75666"/>
    <w:rsid w:val="00D8105E"/>
    <w:rsid w:val="00D83E34"/>
    <w:rsid w:val="00D85C8C"/>
    <w:rsid w:val="00D86CE5"/>
    <w:rsid w:val="00D87537"/>
    <w:rsid w:val="00D9047C"/>
    <w:rsid w:val="00D96D74"/>
    <w:rsid w:val="00DA24E3"/>
    <w:rsid w:val="00DA2FFE"/>
    <w:rsid w:val="00DA3CE6"/>
    <w:rsid w:val="00DA71FC"/>
    <w:rsid w:val="00DB0C84"/>
    <w:rsid w:val="00DB287A"/>
    <w:rsid w:val="00DB5BD7"/>
    <w:rsid w:val="00DB6ED2"/>
    <w:rsid w:val="00DC21A8"/>
    <w:rsid w:val="00DD0F1F"/>
    <w:rsid w:val="00DE1D53"/>
    <w:rsid w:val="00DE28F6"/>
    <w:rsid w:val="00DE69DB"/>
    <w:rsid w:val="00DF47ED"/>
    <w:rsid w:val="00DF55FA"/>
    <w:rsid w:val="00E04281"/>
    <w:rsid w:val="00E06E00"/>
    <w:rsid w:val="00E07698"/>
    <w:rsid w:val="00E12E73"/>
    <w:rsid w:val="00E15F39"/>
    <w:rsid w:val="00E17957"/>
    <w:rsid w:val="00E2160C"/>
    <w:rsid w:val="00E21DB6"/>
    <w:rsid w:val="00E24A9C"/>
    <w:rsid w:val="00E30696"/>
    <w:rsid w:val="00E33D6C"/>
    <w:rsid w:val="00E43E31"/>
    <w:rsid w:val="00E51B66"/>
    <w:rsid w:val="00E53620"/>
    <w:rsid w:val="00E54A42"/>
    <w:rsid w:val="00E57E59"/>
    <w:rsid w:val="00E60537"/>
    <w:rsid w:val="00E62DF2"/>
    <w:rsid w:val="00E7007C"/>
    <w:rsid w:val="00E81122"/>
    <w:rsid w:val="00E83BB5"/>
    <w:rsid w:val="00E866F7"/>
    <w:rsid w:val="00EA5CD3"/>
    <w:rsid w:val="00EB05DF"/>
    <w:rsid w:val="00EB236D"/>
    <w:rsid w:val="00EB5237"/>
    <w:rsid w:val="00EB6055"/>
    <w:rsid w:val="00EC2D0C"/>
    <w:rsid w:val="00EC3808"/>
    <w:rsid w:val="00ED52B1"/>
    <w:rsid w:val="00EE29BA"/>
    <w:rsid w:val="00EE339D"/>
    <w:rsid w:val="00EE3B1B"/>
    <w:rsid w:val="00EE7458"/>
    <w:rsid w:val="00EF556D"/>
    <w:rsid w:val="00EF5EFE"/>
    <w:rsid w:val="00EF6F56"/>
    <w:rsid w:val="00F047FD"/>
    <w:rsid w:val="00F06E52"/>
    <w:rsid w:val="00F1423B"/>
    <w:rsid w:val="00F16604"/>
    <w:rsid w:val="00F245AF"/>
    <w:rsid w:val="00F24868"/>
    <w:rsid w:val="00F30EDA"/>
    <w:rsid w:val="00F31EBB"/>
    <w:rsid w:val="00F3443F"/>
    <w:rsid w:val="00F37401"/>
    <w:rsid w:val="00F4084D"/>
    <w:rsid w:val="00F60EE2"/>
    <w:rsid w:val="00F6181E"/>
    <w:rsid w:val="00F61D21"/>
    <w:rsid w:val="00F624C0"/>
    <w:rsid w:val="00F74920"/>
    <w:rsid w:val="00F7542E"/>
    <w:rsid w:val="00F8009A"/>
    <w:rsid w:val="00F93AE4"/>
    <w:rsid w:val="00F96C3D"/>
    <w:rsid w:val="00FA341B"/>
    <w:rsid w:val="00FA49E0"/>
    <w:rsid w:val="00FA7924"/>
    <w:rsid w:val="00FC41C0"/>
    <w:rsid w:val="00FD0E88"/>
    <w:rsid w:val="00FD6BC0"/>
    <w:rsid w:val="00FE0842"/>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52787552">
      <w:bodyDiv w:val="1"/>
      <w:marLeft w:val="0"/>
      <w:marRight w:val="0"/>
      <w:marTop w:val="0"/>
      <w:marBottom w:val="0"/>
      <w:divBdr>
        <w:top w:val="none" w:sz="0" w:space="0" w:color="auto"/>
        <w:left w:val="none" w:sz="0" w:space="0" w:color="auto"/>
        <w:bottom w:val="none" w:sz="0" w:space="0" w:color="auto"/>
        <w:right w:val="none" w:sz="0" w:space="0" w:color="auto"/>
      </w:divBdr>
    </w:div>
    <w:div w:id="253166940">
      <w:bodyDiv w:val="1"/>
      <w:marLeft w:val="0"/>
      <w:marRight w:val="0"/>
      <w:marTop w:val="0"/>
      <w:marBottom w:val="0"/>
      <w:divBdr>
        <w:top w:val="none" w:sz="0" w:space="0" w:color="auto"/>
        <w:left w:val="none" w:sz="0" w:space="0" w:color="auto"/>
        <w:bottom w:val="none" w:sz="0" w:space="0" w:color="auto"/>
        <w:right w:val="none" w:sz="0" w:space="0" w:color="auto"/>
      </w:divBdr>
    </w:div>
    <w:div w:id="591934633">
      <w:bodyDiv w:val="1"/>
      <w:marLeft w:val="0"/>
      <w:marRight w:val="0"/>
      <w:marTop w:val="0"/>
      <w:marBottom w:val="0"/>
      <w:divBdr>
        <w:top w:val="none" w:sz="0" w:space="0" w:color="auto"/>
        <w:left w:val="none" w:sz="0" w:space="0" w:color="auto"/>
        <w:bottom w:val="none" w:sz="0" w:space="0" w:color="auto"/>
        <w:right w:val="none" w:sz="0" w:space="0" w:color="auto"/>
      </w:divBdr>
    </w:div>
    <w:div w:id="686061628">
      <w:bodyDiv w:val="1"/>
      <w:marLeft w:val="0"/>
      <w:marRight w:val="0"/>
      <w:marTop w:val="0"/>
      <w:marBottom w:val="0"/>
      <w:divBdr>
        <w:top w:val="none" w:sz="0" w:space="0" w:color="auto"/>
        <w:left w:val="none" w:sz="0" w:space="0" w:color="auto"/>
        <w:bottom w:val="none" w:sz="0" w:space="0" w:color="auto"/>
        <w:right w:val="none" w:sz="0" w:space="0" w:color="auto"/>
      </w:divBdr>
    </w:div>
    <w:div w:id="863204165">
      <w:bodyDiv w:val="1"/>
      <w:marLeft w:val="0"/>
      <w:marRight w:val="0"/>
      <w:marTop w:val="0"/>
      <w:marBottom w:val="0"/>
      <w:divBdr>
        <w:top w:val="none" w:sz="0" w:space="0" w:color="auto"/>
        <w:left w:val="none" w:sz="0" w:space="0" w:color="auto"/>
        <w:bottom w:val="none" w:sz="0" w:space="0" w:color="auto"/>
        <w:right w:val="none" w:sz="0" w:space="0" w:color="auto"/>
      </w:divBdr>
    </w:div>
    <w:div w:id="1064110794">
      <w:bodyDiv w:val="1"/>
      <w:marLeft w:val="0"/>
      <w:marRight w:val="0"/>
      <w:marTop w:val="0"/>
      <w:marBottom w:val="0"/>
      <w:divBdr>
        <w:top w:val="none" w:sz="0" w:space="0" w:color="auto"/>
        <w:left w:val="none" w:sz="0" w:space="0" w:color="auto"/>
        <w:bottom w:val="none" w:sz="0" w:space="0" w:color="auto"/>
        <w:right w:val="none" w:sz="0" w:space="0" w:color="auto"/>
      </w:divBdr>
    </w:div>
    <w:div w:id="1416517019">
      <w:bodyDiv w:val="1"/>
      <w:marLeft w:val="0"/>
      <w:marRight w:val="0"/>
      <w:marTop w:val="0"/>
      <w:marBottom w:val="0"/>
      <w:divBdr>
        <w:top w:val="none" w:sz="0" w:space="0" w:color="auto"/>
        <w:left w:val="none" w:sz="0" w:space="0" w:color="auto"/>
        <w:bottom w:val="none" w:sz="0" w:space="0" w:color="auto"/>
        <w:right w:val="none" w:sz="0" w:space="0" w:color="auto"/>
      </w:divBdr>
    </w:div>
    <w:div w:id="1457138753">
      <w:bodyDiv w:val="1"/>
      <w:marLeft w:val="0"/>
      <w:marRight w:val="0"/>
      <w:marTop w:val="0"/>
      <w:marBottom w:val="0"/>
      <w:divBdr>
        <w:top w:val="none" w:sz="0" w:space="0" w:color="auto"/>
        <w:left w:val="none" w:sz="0" w:space="0" w:color="auto"/>
        <w:bottom w:val="none" w:sz="0" w:space="0" w:color="auto"/>
        <w:right w:val="none" w:sz="0" w:space="0" w:color="auto"/>
      </w:divBdr>
    </w:div>
    <w:div w:id="1555655521">
      <w:bodyDiv w:val="1"/>
      <w:marLeft w:val="0"/>
      <w:marRight w:val="0"/>
      <w:marTop w:val="0"/>
      <w:marBottom w:val="0"/>
      <w:divBdr>
        <w:top w:val="none" w:sz="0" w:space="0" w:color="auto"/>
        <w:left w:val="none" w:sz="0" w:space="0" w:color="auto"/>
        <w:bottom w:val="none" w:sz="0" w:space="0" w:color="auto"/>
        <w:right w:val="none" w:sz="0" w:space="0" w:color="auto"/>
      </w:divBdr>
    </w:div>
    <w:div w:id="1575311875">
      <w:bodyDiv w:val="1"/>
      <w:marLeft w:val="0"/>
      <w:marRight w:val="0"/>
      <w:marTop w:val="0"/>
      <w:marBottom w:val="0"/>
      <w:divBdr>
        <w:top w:val="none" w:sz="0" w:space="0" w:color="auto"/>
        <w:left w:val="none" w:sz="0" w:space="0" w:color="auto"/>
        <w:bottom w:val="none" w:sz="0" w:space="0" w:color="auto"/>
        <w:right w:val="none" w:sz="0" w:space="0" w:color="auto"/>
      </w:divBdr>
    </w:div>
    <w:div w:id="159392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chart" Target="charts/chart20.xml"/><Relationship Id="rId39" Type="http://schemas.openxmlformats.org/officeDocument/2006/relationships/chart" Target="charts/chart33.xml"/><Relationship Id="rId21" Type="http://schemas.openxmlformats.org/officeDocument/2006/relationships/chart" Target="charts/chart15.xml"/><Relationship Id="rId34" Type="http://schemas.openxmlformats.org/officeDocument/2006/relationships/chart" Target="charts/chart28.xml"/><Relationship Id="rId42" Type="http://schemas.openxmlformats.org/officeDocument/2006/relationships/chart" Target="charts/chart36.xml"/><Relationship Id="rId47" Type="http://schemas.openxmlformats.org/officeDocument/2006/relationships/chart" Target="charts/chart41.xml"/><Relationship Id="rId50" Type="http://schemas.openxmlformats.org/officeDocument/2006/relationships/chart" Target="charts/chart44.xml"/><Relationship Id="rId55" Type="http://schemas.openxmlformats.org/officeDocument/2006/relationships/chart" Target="charts/chart49.xml"/><Relationship Id="rId63" Type="http://schemas.openxmlformats.org/officeDocument/2006/relationships/chart" Target="charts/chart57.xml"/><Relationship Id="rId68" Type="http://schemas.openxmlformats.org/officeDocument/2006/relationships/chart" Target="charts/chart62.xml"/><Relationship Id="rId76" Type="http://schemas.openxmlformats.org/officeDocument/2006/relationships/chart" Target="charts/chart70.xml"/><Relationship Id="rId7" Type="http://schemas.openxmlformats.org/officeDocument/2006/relationships/chart" Target="charts/chart1.xml"/><Relationship Id="rId71" Type="http://schemas.openxmlformats.org/officeDocument/2006/relationships/chart" Target="charts/chart65.xml"/><Relationship Id="rId2" Type="http://schemas.openxmlformats.org/officeDocument/2006/relationships/numbering" Target="numbering.xml"/><Relationship Id="rId16" Type="http://schemas.openxmlformats.org/officeDocument/2006/relationships/chart" Target="charts/chart10.xml"/><Relationship Id="rId29" Type="http://schemas.openxmlformats.org/officeDocument/2006/relationships/chart" Target="charts/chart23.xml"/><Relationship Id="rId11" Type="http://schemas.openxmlformats.org/officeDocument/2006/relationships/chart" Target="charts/chart5.xml"/><Relationship Id="rId24" Type="http://schemas.openxmlformats.org/officeDocument/2006/relationships/chart" Target="charts/chart18.xml"/><Relationship Id="rId32" Type="http://schemas.openxmlformats.org/officeDocument/2006/relationships/chart" Target="charts/chart26.xml"/><Relationship Id="rId37" Type="http://schemas.openxmlformats.org/officeDocument/2006/relationships/chart" Target="charts/chart31.xml"/><Relationship Id="rId40" Type="http://schemas.openxmlformats.org/officeDocument/2006/relationships/chart" Target="charts/chart34.xml"/><Relationship Id="rId45" Type="http://schemas.openxmlformats.org/officeDocument/2006/relationships/chart" Target="charts/chart39.xml"/><Relationship Id="rId53" Type="http://schemas.openxmlformats.org/officeDocument/2006/relationships/chart" Target="charts/chart47.xml"/><Relationship Id="rId58" Type="http://schemas.openxmlformats.org/officeDocument/2006/relationships/chart" Target="charts/chart52.xml"/><Relationship Id="rId66" Type="http://schemas.openxmlformats.org/officeDocument/2006/relationships/chart" Target="charts/chart60.xml"/><Relationship Id="rId74" Type="http://schemas.openxmlformats.org/officeDocument/2006/relationships/chart" Target="charts/chart68.xml"/><Relationship Id="rId79" Type="http://schemas.openxmlformats.org/officeDocument/2006/relationships/chart" Target="charts/chart73.xml"/><Relationship Id="rId5" Type="http://schemas.openxmlformats.org/officeDocument/2006/relationships/webSettings" Target="webSettings.xml"/><Relationship Id="rId61" Type="http://schemas.openxmlformats.org/officeDocument/2006/relationships/chart" Target="charts/chart55.xml"/><Relationship Id="rId82" Type="http://schemas.openxmlformats.org/officeDocument/2006/relationships/theme" Target="theme/theme1.xml"/><Relationship Id="rId10" Type="http://schemas.openxmlformats.org/officeDocument/2006/relationships/chart" Target="charts/chart4.xml"/><Relationship Id="rId19" Type="http://schemas.openxmlformats.org/officeDocument/2006/relationships/chart" Target="charts/chart13.xml"/><Relationship Id="rId31" Type="http://schemas.openxmlformats.org/officeDocument/2006/relationships/chart" Target="charts/chart25.xml"/><Relationship Id="rId44" Type="http://schemas.openxmlformats.org/officeDocument/2006/relationships/chart" Target="charts/chart38.xml"/><Relationship Id="rId52" Type="http://schemas.openxmlformats.org/officeDocument/2006/relationships/chart" Target="charts/chart46.xml"/><Relationship Id="rId60" Type="http://schemas.openxmlformats.org/officeDocument/2006/relationships/chart" Target="charts/chart54.xml"/><Relationship Id="rId65" Type="http://schemas.openxmlformats.org/officeDocument/2006/relationships/chart" Target="charts/chart59.xml"/><Relationship Id="rId73" Type="http://schemas.openxmlformats.org/officeDocument/2006/relationships/chart" Target="charts/chart67.xml"/><Relationship Id="rId78" Type="http://schemas.openxmlformats.org/officeDocument/2006/relationships/chart" Target="charts/chart72.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chart" Target="charts/chart21.xml"/><Relationship Id="rId30" Type="http://schemas.openxmlformats.org/officeDocument/2006/relationships/chart" Target="charts/chart24.xml"/><Relationship Id="rId35" Type="http://schemas.openxmlformats.org/officeDocument/2006/relationships/chart" Target="charts/chart29.xml"/><Relationship Id="rId43" Type="http://schemas.openxmlformats.org/officeDocument/2006/relationships/chart" Target="charts/chart37.xml"/><Relationship Id="rId48" Type="http://schemas.openxmlformats.org/officeDocument/2006/relationships/chart" Target="charts/chart42.xml"/><Relationship Id="rId56" Type="http://schemas.openxmlformats.org/officeDocument/2006/relationships/chart" Target="charts/chart50.xml"/><Relationship Id="rId64" Type="http://schemas.openxmlformats.org/officeDocument/2006/relationships/chart" Target="charts/chart58.xml"/><Relationship Id="rId69" Type="http://schemas.openxmlformats.org/officeDocument/2006/relationships/chart" Target="charts/chart63.xml"/><Relationship Id="rId77" Type="http://schemas.openxmlformats.org/officeDocument/2006/relationships/chart" Target="charts/chart71.xml"/><Relationship Id="rId8" Type="http://schemas.openxmlformats.org/officeDocument/2006/relationships/chart" Target="charts/chart2.xml"/><Relationship Id="rId51" Type="http://schemas.openxmlformats.org/officeDocument/2006/relationships/chart" Target="charts/chart45.xml"/><Relationship Id="rId72" Type="http://schemas.openxmlformats.org/officeDocument/2006/relationships/chart" Target="charts/chart66.xml"/><Relationship Id="rId80" Type="http://schemas.openxmlformats.org/officeDocument/2006/relationships/chart" Target="charts/chart74.xml"/><Relationship Id="rId3" Type="http://schemas.openxmlformats.org/officeDocument/2006/relationships/styles" Target="styles.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33" Type="http://schemas.openxmlformats.org/officeDocument/2006/relationships/chart" Target="charts/chart27.xml"/><Relationship Id="rId38" Type="http://schemas.openxmlformats.org/officeDocument/2006/relationships/chart" Target="charts/chart32.xml"/><Relationship Id="rId46" Type="http://schemas.openxmlformats.org/officeDocument/2006/relationships/chart" Target="charts/chart40.xml"/><Relationship Id="rId59" Type="http://schemas.openxmlformats.org/officeDocument/2006/relationships/chart" Target="charts/chart53.xml"/><Relationship Id="rId67" Type="http://schemas.openxmlformats.org/officeDocument/2006/relationships/chart" Target="charts/chart61.xml"/><Relationship Id="rId20" Type="http://schemas.openxmlformats.org/officeDocument/2006/relationships/chart" Target="charts/chart14.xml"/><Relationship Id="rId41" Type="http://schemas.openxmlformats.org/officeDocument/2006/relationships/chart" Target="charts/chart35.xml"/><Relationship Id="rId54" Type="http://schemas.openxmlformats.org/officeDocument/2006/relationships/chart" Target="charts/chart48.xml"/><Relationship Id="rId62" Type="http://schemas.openxmlformats.org/officeDocument/2006/relationships/chart" Target="charts/chart56.xml"/><Relationship Id="rId70" Type="http://schemas.openxmlformats.org/officeDocument/2006/relationships/chart" Target="charts/chart64.xml"/><Relationship Id="rId75" Type="http://schemas.openxmlformats.org/officeDocument/2006/relationships/chart" Target="charts/chart69.xm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chart" Target="charts/chart9.xml"/><Relationship Id="rId23" Type="http://schemas.openxmlformats.org/officeDocument/2006/relationships/chart" Target="charts/chart17.xml"/><Relationship Id="rId28" Type="http://schemas.openxmlformats.org/officeDocument/2006/relationships/chart" Target="charts/chart22.xml"/><Relationship Id="rId36" Type="http://schemas.openxmlformats.org/officeDocument/2006/relationships/chart" Target="charts/chart30.xml"/><Relationship Id="rId49" Type="http://schemas.openxmlformats.org/officeDocument/2006/relationships/chart" Target="charts/chart43.xml"/><Relationship Id="rId57" Type="http://schemas.openxmlformats.org/officeDocument/2006/relationships/chart" Target="charts/chart5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6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6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7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employment centre with 100 to 499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Sheet1!$E$380</c:f>
              <c:strCache>
                <c:ptCount val="1"/>
                <c:pt idx="0">
                  <c:v>Predominantly Rural average</c:v>
                </c:pt>
              </c:strCache>
            </c:strRef>
          </c:tx>
          <c:spPr>
            <a:ln w="25400">
              <a:solidFill>
                <a:schemeClr val="bg1">
                  <a:lumMod val="6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16.229196831930103</c:v>
                </c:pt>
                <c:pt idx="1">
                  <c:v>16.770699601008904</c:v>
                </c:pt>
                <c:pt idx="2">
                  <c:v>24.951234328690635</c:v>
                </c:pt>
              </c:numCache>
            </c:numRef>
          </c:val>
        </c:ser>
        <c:ser>
          <c:idx val="2"/>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7.9084776433027333</c:v>
                </c:pt>
                <c:pt idx="1">
                  <c:v>7.8874987257904694</c:v>
                </c:pt>
                <c:pt idx="2">
                  <c:v>9.5929041765560203</c:v>
                </c:pt>
              </c:numCache>
            </c:numRef>
          </c:val>
        </c:ser>
        <c:ser>
          <c:idx val="3"/>
          <c:order val="2"/>
          <c:tx>
            <c:strRef>
              <c:f>Sheet1!$E$382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12.378432100949599</c:v>
                </c:pt>
                <c:pt idx="1">
                  <c:v>12.679757100493497</c:v>
                </c:pt>
                <c:pt idx="2">
                  <c:v>17.682020105796646</c:v>
                </c:pt>
              </c:numCache>
            </c:numRef>
          </c:val>
        </c:ser>
        <c:ser>
          <c:idx val="4"/>
          <c:order val="3"/>
          <c:tx>
            <c:strRef>
              <c:f>Sheet1!$E$383</c:f>
              <c:strCache>
                <c:ptCount val="1"/>
                <c:pt idx="0">
                  <c:v>Uttlesford</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16.40502966610817</c:v>
                </c:pt>
                <c:pt idx="1">
                  <c:v>18.3495567249517</c:v>
                </c:pt>
                <c:pt idx="2">
                  <c:v>35.455129955805297</c:v>
                </c:pt>
              </c:numCache>
            </c:numRef>
          </c:val>
        </c:ser>
        <c:marker val="1"/>
        <c:axId val="161074176"/>
        <c:axId val="161112832"/>
      </c:lineChart>
      <c:catAx>
        <c:axId val="161074176"/>
        <c:scaling>
          <c:orientation val="minMax"/>
        </c:scaling>
        <c:axPos val="b"/>
        <c:numFmt formatCode="General" sourceLinked="1"/>
        <c:tickLblPos val="nextTo"/>
        <c:crossAx val="161112832"/>
        <c:crosses val="autoZero"/>
        <c:auto val="1"/>
        <c:lblAlgn val="ctr"/>
        <c:lblOffset val="100"/>
      </c:catAx>
      <c:valAx>
        <c:axId val="16111283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074176"/>
        <c:crosses val="autoZero"/>
        <c:crossBetween val="between"/>
      </c:valAx>
    </c:plotArea>
    <c:legend>
      <c:legendPos val="r"/>
      <c:txPr>
        <a:bodyPr/>
        <a:lstStyle/>
        <a:p>
          <a:pPr>
            <a:defRPr sz="800"/>
          </a:pPr>
          <a:endParaRPr lang="en-US"/>
        </a:p>
      </c:txP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primary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11.959155448582164</c:v>
                </c:pt>
                <c:pt idx="1">
                  <c:v>12.231535100498649</c:v>
                </c:pt>
                <c:pt idx="2">
                  <c:v>12.62533076507386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8.4677434474910349</c:v>
                </c:pt>
                <c:pt idx="1">
                  <c:v>8.499658014718225</c:v>
                </c:pt>
                <c:pt idx="2">
                  <c:v>9.0622495355692738</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10.617795596843262</c:v>
                </c:pt>
                <c:pt idx="1">
                  <c:v>10.762064656540964</c:v>
                </c:pt>
                <c:pt idx="2">
                  <c:v>11.267655571635494</c:v>
                </c:pt>
              </c:numCache>
            </c:numRef>
          </c:val>
        </c:ser>
        <c:ser>
          <c:idx val="3"/>
          <c:order val="3"/>
          <c:tx>
            <c:strRef>
              <c:f>Sheet1!$E$383</c:f>
              <c:strCache>
                <c:ptCount val="1"/>
                <c:pt idx="0">
                  <c:v>Uttlesford</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11.808179342751588</c:v>
                </c:pt>
                <c:pt idx="1">
                  <c:v>11.582145184407302</c:v>
                </c:pt>
                <c:pt idx="2">
                  <c:v>11.606834050827414</c:v>
                </c:pt>
              </c:numCache>
            </c:numRef>
          </c:val>
        </c:ser>
        <c:marker val="1"/>
        <c:axId val="161897088"/>
        <c:axId val="161919360"/>
      </c:lineChart>
      <c:catAx>
        <c:axId val="161897088"/>
        <c:scaling>
          <c:orientation val="minMax"/>
        </c:scaling>
        <c:axPos val="b"/>
        <c:numFmt formatCode="General" sourceLinked="1"/>
        <c:tickLblPos val="nextTo"/>
        <c:crossAx val="161919360"/>
        <c:crosses val="autoZero"/>
        <c:auto val="1"/>
        <c:lblAlgn val="ctr"/>
        <c:lblOffset val="100"/>
      </c:catAx>
      <c:valAx>
        <c:axId val="16191936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897088"/>
        <c:crosses val="autoZero"/>
        <c:crossBetween val="between"/>
      </c:valAx>
    </c:plotArea>
    <c:legend>
      <c:legendPos val="r"/>
      <c:txPr>
        <a:bodyPr/>
        <a:lstStyle/>
        <a:p>
          <a:pPr>
            <a:defRPr sz="800"/>
          </a:pPr>
          <a:endParaRPr lang="en-US"/>
        </a:p>
      </c:txP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primary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6.2533739811300313</c:v>
                </c:pt>
                <c:pt idx="1">
                  <c:v>6.114429844143908</c:v>
                </c:pt>
                <c:pt idx="2">
                  <c:v>6.0307663883143876</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9.5518741067584809</c:v>
                </c:pt>
                <c:pt idx="1">
                  <c:v>9.5603499031153003</c:v>
                </c:pt>
                <c:pt idx="2">
                  <c:v>9.5374824399669258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7.7454646819961814</c:v>
                </c:pt>
                <c:pt idx="1">
                  <c:v>7.6937935911344963</c:v>
                </c:pt>
                <c:pt idx="2">
                  <c:v>7.6348693122938727</c:v>
                </c:pt>
              </c:numCache>
            </c:numRef>
          </c:val>
        </c:ser>
        <c:ser>
          <c:idx val="3"/>
          <c:order val="3"/>
          <c:tx>
            <c:strRef>
              <c:f>Sheet1!$AL$383</c:f>
              <c:strCache>
                <c:ptCount val="1"/>
                <c:pt idx="0">
                  <c:v>Uttlesford</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5.4017282010997683</c:v>
                </c:pt>
                <c:pt idx="1">
                  <c:v>5.6212563354323404</c:v>
                </c:pt>
                <c:pt idx="2">
                  <c:v>5.5237290738749802</c:v>
                </c:pt>
              </c:numCache>
            </c:numRef>
          </c:val>
        </c:ser>
        <c:axId val="162147328"/>
        <c:axId val="162161408"/>
      </c:barChart>
      <c:catAx>
        <c:axId val="162147328"/>
        <c:scaling>
          <c:orientation val="minMax"/>
        </c:scaling>
        <c:axPos val="b"/>
        <c:numFmt formatCode="General" sourceLinked="1"/>
        <c:tickLblPos val="nextTo"/>
        <c:crossAx val="162161408"/>
        <c:crosses val="autoZero"/>
        <c:auto val="1"/>
        <c:lblAlgn val="ctr"/>
        <c:lblOffset val="100"/>
      </c:catAx>
      <c:valAx>
        <c:axId val="162161408"/>
        <c:scaling>
          <c:orientation val="minMax"/>
        </c:scaling>
        <c:axPos val="l"/>
        <c:majorGridlines/>
        <c:numFmt formatCode="General" sourceLinked="1"/>
        <c:tickLblPos val="nextTo"/>
        <c:txPr>
          <a:bodyPr/>
          <a:lstStyle/>
          <a:p>
            <a:pPr>
              <a:defRPr sz="800"/>
            </a:pPr>
            <a:endParaRPr lang="en-US"/>
          </a:p>
        </c:txPr>
        <c:crossAx val="162147328"/>
        <c:crosses val="autoZero"/>
        <c:crossBetween val="between"/>
      </c:valAx>
    </c:plotArea>
    <c:legend>
      <c:legendPos val="r"/>
      <c:txPr>
        <a:bodyPr/>
        <a:lstStyle/>
        <a:p>
          <a:pPr>
            <a:defRPr sz="800"/>
          </a:pPr>
          <a:endParaRPr lang="en-US"/>
        </a:p>
      </c:txP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primary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10.008099180543477</c:v>
                </c:pt>
                <c:pt idx="1">
                  <c:v>10.063438658512572</c:v>
                </c:pt>
                <c:pt idx="2">
                  <c:v>10.078087179914831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8.3367145952070487</c:v>
                </c:pt>
                <c:pt idx="1">
                  <c:v>8.3640773726955633</c:v>
                </c:pt>
                <c:pt idx="2">
                  <c:v>8.3874958558821859</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9.3381754388902429</c:v>
                </c:pt>
                <c:pt idx="1">
                  <c:v>9.3775356235155094</c:v>
                </c:pt>
                <c:pt idx="2">
                  <c:v>9.4076348991702652</c:v>
                </c:pt>
              </c:numCache>
            </c:numRef>
          </c:val>
        </c:ser>
        <c:ser>
          <c:idx val="3"/>
          <c:order val="3"/>
          <c:tx>
            <c:strRef>
              <c:f>Sheet1!$P$383</c:f>
              <c:strCache>
                <c:ptCount val="1"/>
                <c:pt idx="0">
                  <c:v>Uttlesford</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10.45682449838541</c:v>
                </c:pt>
                <c:pt idx="1">
                  <c:v>10.816534971949723</c:v>
                </c:pt>
                <c:pt idx="2">
                  <c:v>10.2045383507933</c:v>
                </c:pt>
              </c:numCache>
            </c:numRef>
          </c:val>
        </c:ser>
        <c:marker val="1"/>
        <c:axId val="162180096"/>
        <c:axId val="162075392"/>
      </c:lineChart>
      <c:catAx>
        <c:axId val="162180096"/>
        <c:scaling>
          <c:orientation val="minMax"/>
        </c:scaling>
        <c:axPos val="b"/>
        <c:numFmt formatCode="General" sourceLinked="1"/>
        <c:tickLblPos val="nextTo"/>
        <c:crossAx val="162075392"/>
        <c:crosses val="autoZero"/>
        <c:auto val="1"/>
        <c:lblAlgn val="ctr"/>
        <c:lblOffset val="100"/>
      </c:catAx>
      <c:valAx>
        <c:axId val="16207539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180096"/>
        <c:crosses val="autoZero"/>
        <c:crossBetween val="between"/>
      </c:valAx>
    </c:plotArea>
    <c:legend>
      <c:legendPos val="r"/>
      <c:txPr>
        <a:bodyPr/>
        <a:lstStyle/>
        <a:p>
          <a:pPr>
            <a:defRPr sz="800"/>
          </a:pPr>
          <a:endParaRPr lang="en-US"/>
        </a:p>
      </c:txP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primary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6.8055950052313507</c:v>
                </c:pt>
                <c:pt idx="1">
                  <c:v>6.8329236595398886</c:v>
                </c:pt>
                <c:pt idx="2">
                  <c:v>6.83227814638796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9.9009269048039528</c:v>
                </c:pt>
                <c:pt idx="1">
                  <c:v>9.9114910663259703</c:v>
                </c:pt>
                <c:pt idx="2">
                  <c:v>9.9141696305794049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8.413591594891777</c:v>
                </c:pt>
                <c:pt idx="1">
                  <c:v>8.4398441746939508</c:v>
                </c:pt>
                <c:pt idx="2">
                  <c:v>8.4397572683777504</c:v>
                </c:pt>
              </c:numCache>
            </c:numRef>
          </c:val>
        </c:ser>
        <c:ser>
          <c:idx val="3"/>
          <c:order val="3"/>
          <c:tx>
            <c:strRef>
              <c:f>Sheet1!$AW$383</c:f>
              <c:strCache>
                <c:ptCount val="1"/>
                <c:pt idx="0">
                  <c:v>Uttlesford</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5.4252945797329044</c:v>
                </c:pt>
                <c:pt idx="1">
                  <c:v>5.5592074950084562</c:v>
                </c:pt>
                <c:pt idx="2">
                  <c:v>5.6250959913991698</c:v>
                </c:pt>
              </c:numCache>
            </c:numRef>
          </c:val>
        </c:ser>
        <c:axId val="162110848"/>
        <c:axId val="162120832"/>
      </c:barChart>
      <c:catAx>
        <c:axId val="162110848"/>
        <c:scaling>
          <c:orientation val="minMax"/>
        </c:scaling>
        <c:axPos val="b"/>
        <c:numFmt formatCode="General" sourceLinked="1"/>
        <c:tickLblPos val="nextTo"/>
        <c:crossAx val="162120832"/>
        <c:crosses val="autoZero"/>
        <c:auto val="1"/>
        <c:lblAlgn val="ctr"/>
        <c:lblOffset val="100"/>
      </c:catAx>
      <c:valAx>
        <c:axId val="162120832"/>
        <c:scaling>
          <c:orientation val="minMax"/>
        </c:scaling>
        <c:axPos val="l"/>
        <c:majorGridlines/>
        <c:numFmt formatCode="General" sourceLinked="1"/>
        <c:tickLblPos val="nextTo"/>
        <c:txPr>
          <a:bodyPr/>
          <a:lstStyle/>
          <a:p>
            <a:pPr>
              <a:defRPr sz="800"/>
            </a:pPr>
            <a:endParaRPr lang="en-US"/>
          </a:p>
        </c:txPr>
        <c:crossAx val="162110848"/>
        <c:crosses val="autoZero"/>
        <c:crossBetween val="between"/>
      </c:valAx>
    </c:plotArea>
    <c:legend>
      <c:legendPos val="r"/>
      <c:txPr>
        <a:bodyPr/>
        <a:lstStyle/>
        <a:p>
          <a:pPr>
            <a:defRPr sz="800"/>
          </a:pPr>
          <a:endParaRPr lang="en-US"/>
        </a:p>
      </c:txPr>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primary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7.9270823324085526</c:v>
                </c:pt>
                <c:pt idx="1">
                  <c:v>7.8938299178992377</c:v>
                </c:pt>
                <c:pt idx="2">
                  <c:v>7.9866976976056376</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7.5185180577991453</c:v>
                </c:pt>
                <c:pt idx="1">
                  <c:v>7.3697076705738436</c:v>
                </c:pt>
                <c:pt idx="2">
                  <c:v>7.5696366766324967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7.7922278752014753</c:v>
                </c:pt>
                <c:pt idx="1">
                  <c:v>7.7077830177004847</c:v>
                </c:pt>
                <c:pt idx="2">
                  <c:v>7.8402659363871621</c:v>
                </c:pt>
              </c:numCache>
            </c:numRef>
          </c:val>
        </c:ser>
        <c:ser>
          <c:idx val="3"/>
          <c:order val="3"/>
          <c:tx>
            <c:strRef>
              <c:f>Sheet1!$AA$383</c:f>
              <c:strCache>
                <c:ptCount val="1"/>
                <c:pt idx="0">
                  <c:v>Uttlesford</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7.9960503368286204</c:v>
                </c:pt>
                <c:pt idx="1">
                  <c:v>8.0307491864331109</c:v>
                </c:pt>
                <c:pt idx="2">
                  <c:v>7.9852827122035066</c:v>
                </c:pt>
              </c:numCache>
            </c:numRef>
          </c:val>
        </c:ser>
        <c:marker val="1"/>
        <c:axId val="162213248"/>
        <c:axId val="162227328"/>
      </c:lineChart>
      <c:catAx>
        <c:axId val="162213248"/>
        <c:scaling>
          <c:orientation val="minMax"/>
        </c:scaling>
        <c:axPos val="b"/>
        <c:numFmt formatCode="General" sourceLinked="1"/>
        <c:tickLblPos val="nextTo"/>
        <c:crossAx val="162227328"/>
        <c:crosses val="autoZero"/>
        <c:auto val="1"/>
        <c:lblAlgn val="ctr"/>
        <c:lblOffset val="100"/>
      </c:catAx>
      <c:valAx>
        <c:axId val="16222732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213248"/>
        <c:crosses val="autoZero"/>
        <c:crossBetween val="between"/>
      </c:valAx>
    </c:plotArea>
    <c:legend>
      <c:legendPos val="r"/>
      <c:txPr>
        <a:bodyPr/>
        <a:lstStyle/>
        <a:p>
          <a:pPr>
            <a:defRPr sz="800"/>
          </a:pPr>
          <a:endParaRPr lang="en-US"/>
        </a:p>
      </c:txPr>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primary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9.9386241041571619</c:v>
                </c:pt>
                <c:pt idx="1">
                  <c:v>9.9657280764686575</c:v>
                </c:pt>
                <c:pt idx="2">
                  <c:v>9.9676223688536147</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9.9887680665962009</c:v>
                </c:pt>
                <c:pt idx="1">
                  <c:v>9.9961426622495608</c:v>
                </c:pt>
                <c:pt idx="2">
                  <c:v>9.9997324464403246</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9.9662873894229751</c:v>
                </c:pt>
                <c:pt idx="1">
                  <c:v>9.9832085311917123</c:v>
                </c:pt>
                <c:pt idx="2">
                  <c:v>9.9867676271985317</c:v>
                </c:pt>
              </c:numCache>
            </c:numRef>
          </c:val>
        </c:ser>
        <c:ser>
          <c:idx val="3"/>
          <c:order val="3"/>
          <c:tx>
            <c:strRef>
              <c:f>Sheet1!$BH$383</c:f>
              <c:strCache>
                <c:ptCount val="1"/>
                <c:pt idx="0">
                  <c:v>Uttlesford</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10</c:v>
                </c:pt>
                <c:pt idx="1">
                  <c:v>10</c:v>
                </c:pt>
                <c:pt idx="2">
                  <c:v>10</c:v>
                </c:pt>
              </c:numCache>
            </c:numRef>
          </c:val>
        </c:ser>
        <c:axId val="162263040"/>
        <c:axId val="162264576"/>
      </c:barChart>
      <c:catAx>
        <c:axId val="162263040"/>
        <c:scaling>
          <c:orientation val="minMax"/>
        </c:scaling>
        <c:axPos val="b"/>
        <c:numFmt formatCode="General" sourceLinked="1"/>
        <c:tickLblPos val="nextTo"/>
        <c:crossAx val="162264576"/>
        <c:crosses val="autoZero"/>
        <c:auto val="1"/>
        <c:lblAlgn val="ctr"/>
        <c:lblOffset val="100"/>
      </c:catAx>
      <c:valAx>
        <c:axId val="162264576"/>
        <c:scaling>
          <c:orientation val="minMax"/>
        </c:scaling>
        <c:axPos val="l"/>
        <c:majorGridlines/>
        <c:numFmt formatCode="General" sourceLinked="1"/>
        <c:tickLblPos val="nextTo"/>
        <c:txPr>
          <a:bodyPr/>
          <a:lstStyle/>
          <a:p>
            <a:pPr>
              <a:defRPr sz="800"/>
            </a:pPr>
            <a:endParaRPr lang="en-US"/>
          </a:p>
        </c:txPr>
        <c:crossAx val="162263040"/>
        <c:crosses val="autoZero"/>
        <c:crossBetween val="between"/>
      </c:valAx>
    </c:plotArea>
    <c:legend>
      <c:legendPos val="r"/>
      <c:txPr>
        <a:bodyPr/>
        <a:lstStyle/>
        <a:p>
          <a:pPr>
            <a:defRPr sz="800"/>
          </a:pPr>
          <a:endParaRPr lang="en-US"/>
        </a:p>
      </c:txPr>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secondary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24.174836634054341</c:v>
                </c:pt>
                <c:pt idx="1">
                  <c:v>25.312282639861589</c:v>
                </c:pt>
                <c:pt idx="2">
                  <c:v>25.730778090743829</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15.538876914886078</c:v>
                </c:pt>
                <c:pt idx="1">
                  <c:v>15.639843742109278</c:v>
                </c:pt>
                <c:pt idx="2">
                  <c:v>16.094318555891093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20.493334728955677</c:v>
                </c:pt>
                <c:pt idx="1">
                  <c:v>21.128587196068899</c:v>
                </c:pt>
                <c:pt idx="2">
                  <c:v>21.547000453523822</c:v>
                </c:pt>
              </c:numCache>
            </c:numRef>
          </c:val>
        </c:ser>
        <c:ser>
          <c:idx val="3"/>
          <c:order val="3"/>
          <c:tx>
            <c:strRef>
              <c:f>Sheet1!$E$383</c:f>
              <c:strCache>
                <c:ptCount val="1"/>
                <c:pt idx="0">
                  <c:v>Uttlesford</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25.752689574459072</c:v>
                </c:pt>
                <c:pt idx="1">
                  <c:v>26.135330147079902</c:v>
                </c:pt>
                <c:pt idx="2">
                  <c:v>26.805934135906501</c:v>
                </c:pt>
              </c:numCache>
            </c:numRef>
          </c:val>
        </c:ser>
        <c:marker val="1"/>
        <c:axId val="162316288"/>
        <c:axId val="162317824"/>
      </c:lineChart>
      <c:catAx>
        <c:axId val="162316288"/>
        <c:scaling>
          <c:orientation val="minMax"/>
        </c:scaling>
        <c:axPos val="b"/>
        <c:numFmt formatCode="General" sourceLinked="1"/>
        <c:tickLblPos val="nextTo"/>
        <c:crossAx val="162317824"/>
        <c:crosses val="autoZero"/>
        <c:auto val="1"/>
        <c:lblAlgn val="ctr"/>
        <c:lblOffset val="100"/>
      </c:catAx>
      <c:valAx>
        <c:axId val="16231782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316288"/>
        <c:crosses val="autoZero"/>
        <c:crossBetween val="between"/>
      </c:valAx>
    </c:plotArea>
    <c:legend>
      <c:legendPos val="r"/>
      <c:txPr>
        <a:bodyPr/>
        <a:lstStyle/>
        <a:p>
          <a:pPr>
            <a:defRPr sz="800"/>
          </a:pPr>
          <a:endParaRPr lang="en-US"/>
        </a:p>
      </c:txPr>
    </c:legend>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secondary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1.6006684327207201</c:v>
                </c:pt>
                <c:pt idx="1">
                  <c:v>1.5368395794742613</c:v>
                </c:pt>
                <c:pt idx="2">
                  <c:v>1.4707725933687963</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4.8357921075201391</c:v>
                </c:pt>
                <c:pt idx="1">
                  <c:v>4.8109883224800374</c:v>
                </c:pt>
                <c:pt idx="2">
                  <c:v>4.7296233088103365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2.5165892900976448</c:v>
                </c:pt>
                <c:pt idx="1">
                  <c:v>2.4487562487471983</c:v>
                </c:pt>
                <c:pt idx="2">
                  <c:v>2.3767453230752484</c:v>
                </c:pt>
              </c:numCache>
            </c:numRef>
          </c:val>
        </c:ser>
        <c:ser>
          <c:idx val="3"/>
          <c:order val="3"/>
          <c:tx>
            <c:strRef>
              <c:f>Sheet1!$AL$383</c:f>
              <c:strCache>
                <c:ptCount val="1"/>
                <c:pt idx="0">
                  <c:v>Uttlesford</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1.4999073902574576</c:v>
                </c:pt>
                <c:pt idx="1">
                  <c:v>1.4954570739848001</c:v>
                </c:pt>
                <c:pt idx="2">
                  <c:v>1.4248099388095699</c:v>
                </c:pt>
              </c:numCache>
            </c:numRef>
          </c:val>
        </c:ser>
        <c:axId val="162435072"/>
        <c:axId val="162436608"/>
      </c:barChart>
      <c:catAx>
        <c:axId val="162435072"/>
        <c:scaling>
          <c:orientation val="minMax"/>
        </c:scaling>
        <c:axPos val="b"/>
        <c:numFmt formatCode="General" sourceLinked="1"/>
        <c:tickLblPos val="nextTo"/>
        <c:crossAx val="162436608"/>
        <c:crosses val="autoZero"/>
        <c:auto val="1"/>
        <c:lblAlgn val="ctr"/>
        <c:lblOffset val="100"/>
      </c:catAx>
      <c:valAx>
        <c:axId val="162436608"/>
        <c:scaling>
          <c:orientation val="minMax"/>
        </c:scaling>
        <c:axPos val="l"/>
        <c:majorGridlines/>
        <c:numFmt formatCode="General" sourceLinked="1"/>
        <c:tickLblPos val="nextTo"/>
        <c:txPr>
          <a:bodyPr/>
          <a:lstStyle/>
          <a:p>
            <a:pPr>
              <a:defRPr sz="800"/>
            </a:pPr>
            <a:endParaRPr lang="en-US"/>
          </a:p>
        </c:txPr>
        <c:crossAx val="162435072"/>
        <c:crosses val="autoZero"/>
        <c:crossBetween val="between"/>
      </c:valAx>
    </c:plotArea>
    <c:legend>
      <c:legendPos val="r"/>
      <c:txPr>
        <a:bodyPr/>
        <a:lstStyle/>
        <a:p>
          <a:pPr>
            <a:defRPr sz="800"/>
          </a:pPr>
          <a:endParaRPr lang="en-US"/>
        </a:p>
      </c:txPr>
    </c:legend>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GB"/>
  <c:chart>
    <c:title>
      <c:tx>
        <c:strRef>
          <c:f>Sheet1!$P$379</c:f>
          <c:strCache>
            <c:ptCount val="1"/>
            <c:pt idx="0">
              <c:v>Travel time to nearest secondary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20.137800775100601</c:v>
                </c:pt>
                <c:pt idx="1">
                  <c:v>20.250590842423712</c:v>
                </c:pt>
                <c:pt idx="2">
                  <c:v>20.306749429356401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12.028438735823578</c:v>
                </c:pt>
                <c:pt idx="1">
                  <c:v>12.060211740613749</c:v>
                </c:pt>
                <c:pt idx="2">
                  <c:v>12.109576369917825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16.5780815026508</c:v>
                </c:pt>
                <c:pt idx="1">
                  <c:v>16.64316132517763</c:v>
                </c:pt>
                <c:pt idx="2">
                  <c:v>16.674634545791612</c:v>
                </c:pt>
              </c:numCache>
            </c:numRef>
          </c:val>
        </c:ser>
        <c:ser>
          <c:idx val="3"/>
          <c:order val="3"/>
          <c:tx>
            <c:strRef>
              <c:f>Sheet1!$P$383</c:f>
              <c:strCache>
                <c:ptCount val="1"/>
                <c:pt idx="0">
                  <c:v>Uttlesford</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22.810472527605388</c:v>
                </c:pt>
                <c:pt idx="1">
                  <c:v>23.294826536965864</c:v>
                </c:pt>
                <c:pt idx="2">
                  <c:v>22.7871589406762</c:v>
                </c:pt>
              </c:numCache>
            </c:numRef>
          </c:val>
        </c:ser>
        <c:marker val="1"/>
        <c:axId val="162340864"/>
        <c:axId val="162342400"/>
      </c:lineChart>
      <c:catAx>
        <c:axId val="162340864"/>
        <c:scaling>
          <c:orientation val="minMax"/>
        </c:scaling>
        <c:axPos val="b"/>
        <c:numFmt formatCode="General" sourceLinked="1"/>
        <c:tickLblPos val="nextTo"/>
        <c:crossAx val="162342400"/>
        <c:crosses val="autoZero"/>
        <c:auto val="1"/>
        <c:lblAlgn val="ctr"/>
        <c:lblOffset val="100"/>
      </c:catAx>
      <c:valAx>
        <c:axId val="16234240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340864"/>
        <c:crosses val="autoZero"/>
        <c:crossBetween val="between"/>
      </c:valAx>
    </c:plotArea>
    <c:legend>
      <c:legendPos val="r"/>
      <c:txPr>
        <a:bodyPr/>
        <a:lstStyle/>
        <a:p>
          <a:pPr>
            <a:defRPr sz="800"/>
          </a:pPr>
          <a:endParaRPr lang="en-US"/>
        </a:p>
      </c:txPr>
    </c:legend>
    <c:plotVisOnly val="1"/>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secondary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1.8299169525515044</c:v>
                </c:pt>
                <c:pt idx="1">
                  <c:v>1.8149113763046358</c:v>
                </c:pt>
                <c:pt idx="2">
                  <c:v>1.7733355792665322</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7.3636706806335095</c:v>
                </c:pt>
                <c:pt idx="1">
                  <c:v>7.390211639233633</c:v>
                </c:pt>
                <c:pt idx="2">
                  <c:v>7.38276925877644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3.7511880742292063</c:v>
                </c:pt>
                <c:pt idx="1">
                  <c:v>3.7567545497083832</c:v>
                </c:pt>
                <c:pt idx="2">
                  <c:v>3.7358391020271076</c:v>
                </c:pt>
              </c:numCache>
            </c:numRef>
          </c:val>
        </c:ser>
        <c:ser>
          <c:idx val="3"/>
          <c:order val="3"/>
          <c:tx>
            <c:strRef>
              <c:f>Sheet1!$AW$383</c:f>
              <c:strCache>
                <c:ptCount val="1"/>
                <c:pt idx="0">
                  <c:v>Uttlesford</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1.5050935358399686</c:v>
                </c:pt>
                <c:pt idx="1">
                  <c:v>1.4559614314852598</c:v>
                </c:pt>
                <c:pt idx="2">
                  <c:v>1.4613387724828486</c:v>
                </c:pt>
              </c:numCache>
            </c:numRef>
          </c:val>
        </c:ser>
        <c:axId val="162374016"/>
        <c:axId val="162375552"/>
      </c:barChart>
      <c:catAx>
        <c:axId val="162374016"/>
        <c:scaling>
          <c:orientation val="minMax"/>
        </c:scaling>
        <c:axPos val="b"/>
        <c:numFmt formatCode="General" sourceLinked="1"/>
        <c:tickLblPos val="nextTo"/>
        <c:crossAx val="162375552"/>
        <c:crosses val="autoZero"/>
        <c:auto val="1"/>
        <c:lblAlgn val="ctr"/>
        <c:lblOffset val="100"/>
      </c:catAx>
      <c:valAx>
        <c:axId val="162375552"/>
        <c:scaling>
          <c:orientation val="minMax"/>
        </c:scaling>
        <c:axPos val="l"/>
        <c:majorGridlines/>
        <c:numFmt formatCode="General" sourceLinked="1"/>
        <c:tickLblPos val="nextTo"/>
        <c:txPr>
          <a:bodyPr/>
          <a:lstStyle/>
          <a:p>
            <a:pPr>
              <a:defRPr sz="800"/>
            </a:pPr>
            <a:endParaRPr lang="en-US"/>
          </a:p>
        </c:txPr>
        <c:crossAx val="162374016"/>
        <c:crosses val="autoZero"/>
        <c:crossBetween val="between"/>
      </c:valAx>
    </c:plotArea>
    <c:legend>
      <c:legendPos val="r"/>
      <c:txPr>
        <a:bodyPr/>
        <a:lstStyle/>
        <a:p>
          <a:pPr>
            <a:defRPr sz="800"/>
          </a:pPr>
          <a:endParaRPr lang="en-US"/>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employment centre with 100 to 499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Sheet1!$P$380</c:f>
              <c:strCache>
                <c:ptCount val="1"/>
                <c:pt idx="0">
                  <c:v>Predominantly Rural average</c:v>
                </c:pt>
              </c:strCache>
            </c:strRef>
          </c:tx>
          <c:spPr>
            <a:ln w="25400">
              <a:solidFill>
                <a:schemeClr val="bg1">
                  <a:lumMod val="6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13.125600654468762</c:v>
                </c:pt>
                <c:pt idx="1">
                  <c:v>13.155766003193007</c:v>
                </c:pt>
                <c:pt idx="2">
                  <c:v>13.276615831299004</c:v>
                </c:pt>
              </c:numCache>
            </c:numRef>
          </c:val>
        </c:ser>
        <c:ser>
          <c:idx val="2"/>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8.0901693775272214</c:v>
                </c:pt>
                <c:pt idx="1">
                  <c:v>8.0927940274966588</c:v>
                </c:pt>
                <c:pt idx="2">
                  <c:v>8.1750989266772667</c:v>
                </c:pt>
              </c:numCache>
            </c:numRef>
          </c:val>
        </c:ser>
        <c:ser>
          <c:idx val="3"/>
          <c:order val="2"/>
          <c:tx>
            <c:strRef>
              <c:f>Sheet1!$P$382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10.7115060380192</c:v>
                </c:pt>
                <c:pt idx="1">
                  <c:v>10.770821470004723</c:v>
                </c:pt>
                <c:pt idx="2">
                  <c:v>10.865507129301042</c:v>
                </c:pt>
              </c:numCache>
            </c:numRef>
          </c:val>
        </c:ser>
        <c:ser>
          <c:idx val="4"/>
          <c:order val="3"/>
          <c:tx>
            <c:strRef>
              <c:f>Sheet1!$P$383</c:f>
              <c:strCache>
                <c:ptCount val="1"/>
                <c:pt idx="0">
                  <c:v>Uttlesford</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13.4455504636106</c:v>
                </c:pt>
                <c:pt idx="1">
                  <c:v>15.721584469429002</c:v>
                </c:pt>
                <c:pt idx="2">
                  <c:v>16.754527521933866</c:v>
                </c:pt>
              </c:numCache>
            </c:numRef>
          </c:val>
        </c:ser>
        <c:marker val="1"/>
        <c:axId val="161140736"/>
        <c:axId val="161142272"/>
      </c:lineChart>
      <c:catAx>
        <c:axId val="161140736"/>
        <c:scaling>
          <c:orientation val="minMax"/>
        </c:scaling>
        <c:axPos val="b"/>
        <c:numFmt formatCode="General" sourceLinked="1"/>
        <c:tickLblPos val="nextTo"/>
        <c:crossAx val="161142272"/>
        <c:crosses val="autoZero"/>
        <c:auto val="1"/>
        <c:lblAlgn val="ctr"/>
        <c:lblOffset val="100"/>
      </c:catAx>
      <c:valAx>
        <c:axId val="16114227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140736"/>
        <c:crosses val="autoZero"/>
        <c:crossBetween val="between"/>
      </c:valAx>
    </c:plotArea>
    <c:legend>
      <c:legendPos val="r"/>
      <c:txPr>
        <a:bodyPr/>
        <a:lstStyle/>
        <a:p>
          <a:pPr>
            <a:defRPr sz="800"/>
          </a:pPr>
          <a:endParaRPr lang="en-US"/>
        </a:p>
      </c:txPr>
    </c:legend>
    <c:plotVisOnly val="1"/>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secondary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11.920815422693055</c:v>
                </c:pt>
                <c:pt idx="1">
                  <c:v>11.909715823450254</c:v>
                </c:pt>
                <c:pt idx="2">
                  <c:v>12.138327648761368</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9.6983422507829395</c:v>
                </c:pt>
                <c:pt idx="1">
                  <c:v>9.4552450451665848</c:v>
                </c:pt>
                <c:pt idx="2">
                  <c:v>9.8574808717876063</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11.001957522242513</c:v>
                </c:pt>
                <c:pt idx="1">
                  <c:v>10.904136924170306</c:v>
                </c:pt>
                <c:pt idx="2">
                  <c:v>11.163989713149222</c:v>
                </c:pt>
              </c:numCache>
            </c:numRef>
          </c:val>
        </c:ser>
        <c:ser>
          <c:idx val="3"/>
          <c:order val="3"/>
          <c:tx>
            <c:strRef>
              <c:f>Sheet1!$AA$383</c:f>
              <c:strCache>
                <c:ptCount val="1"/>
                <c:pt idx="0">
                  <c:v>Uttlesford</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12.261119698124199</c:v>
                </c:pt>
                <c:pt idx="1">
                  <c:v>12.43759289935271</c:v>
                </c:pt>
                <c:pt idx="2">
                  <c:v>12.612254740344</c:v>
                </c:pt>
              </c:numCache>
            </c:numRef>
          </c:val>
        </c:ser>
        <c:marker val="1"/>
        <c:axId val="162480512"/>
        <c:axId val="162482048"/>
      </c:lineChart>
      <c:catAx>
        <c:axId val="162480512"/>
        <c:scaling>
          <c:orientation val="minMax"/>
        </c:scaling>
        <c:axPos val="b"/>
        <c:numFmt formatCode="General" sourceLinked="1"/>
        <c:tickLblPos val="nextTo"/>
        <c:crossAx val="162482048"/>
        <c:crosses val="autoZero"/>
        <c:auto val="1"/>
        <c:lblAlgn val="ctr"/>
        <c:lblOffset val="100"/>
      </c:catAx>
      <c:valAx>
        <c:axId val="16248204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480512"/>
        <c:crosses val="autoZero"/>
        <c:crossBetween val="between"/>
      </c:valAx>
    </c:plotArea>
    <c:legend>
      <c:legendPos val="r"/>
      <c:txPr>
        <a:bodyPr/>
        <a:lstStyle/>
        <a:p>
          <a:pPr>
            <a:defRPr sz="800"/>
          </a:pPr>
          <a:endParaRPr lang="en-US"/>
        </a:p>
      </c:txPr>
    </c:legend>
    <c:plotVisOnly val="1"/>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secondary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8.0207930675852506</c:v>
                </c:pt>
                <c:pt idx="1">
                  <c:v>7.7962739637851524</c:v>
                </c:pt>
                <c:pt idx="2">
                  <c:v>7.7493748545010979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9.9242574921271487</c:v>
                </c:pt>
                <c:pt idx="1">
                  <c:v>9.9580378789766524</c:v>
                </c:pt>
                <c:pt idx="2">
                  <c:v>9.933875675110631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9.0220725391812913</c:v>
                </c:pt>
                <c:pt idx="1">
                  <c:v>8.9253781883288479</c:v>
                </c:pt>
                <c:pt idx="2">
                  <c:v>8.8943043172621827</c:v>
                </c:pt>
              </c:numCache>
            </c:numRef>
          </c:val>
        </c:ser>
        <c:ser>
          <c:idx val="3"/>
          <c:order val="3"/>
          <c:tx>
            <c:strRef>
              <c:f>Sheet1!$BH$383</c:f>
              <c:strCache>
                <c:ptCount val="1"/>
                <c:pt idx="0">
                  <c:v>Uttlesford</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9.7747731061307412</c:v>
                </c:pt>
                <c:pt idx="1">
                  <c:v>9.4107175968848527</c:v>
                </c:pt>
                <c:pt idx="2">
                  <c:v>9.1203411830149985</c:v>
                </c:pt>
              </c:numCache>
            </c:numRef>
          </c:val>
        </c:ser>
        <c:axId val="162538240"/>
        <c:axId val="162539776"/>
      </c:barChart>
      <c:catAx>
        <c:axId val="162538240"/>
        <c:scaling>
          <c:orientation val="minMax"/>
        </c:scaling>
        <c:axPos val="b"/>
        <c:numFmt formatCode="General" sourceLinked="1"/>
        <c:tickLblPos val="nextTo"/>
        <c:crossAx val="162539776"/>
        <c:crosses val="autoZero"/>
        <c:auto val="1"/>
        <c:lblAlgn val="ctr"/>
        <c:lblOffset val="100"/>
      </c:catAx>
      <c:valAx>
        <c:axId val="162539776"/>
        <c:scaling>
          <c:orientation val="minMax"/>
        </c:scaling>
        <c:axPos val="l"/>
        <c:majorGridlines/>
        <c:numFmt formatCode="General" sourceLinked="1"/>
        <c:tickLblPos val="nextTo"/>
        <c:txPr>
          <a:bodyPr/>
          <a:lstStyle/>
          <a:p>
            <a:pPr>
              <a:defRPr sz="800"/>
            </a:pPr>
            <a:endParaRPr lang="en-US"/>
          </a:p>
        </c:txPr>
        <c:crossAx val="162538240"/>
        <c:crosses val="autoZero"/>
        <c:crossBetween val="between"/>
      </c:valAx>
    </c:plotArea>
    <c:legend>
      <c:legendPos val="r"/>
      <c:txPr>
        <a:bodyPr/>
        <a:lstStyle/>
        <a:p>
          <a:pPr>
            <a:defRPr sz="800"/>
          </a:pPr>
          <a:endParaRPr lang="en-US"/>
        </a:p>
      </c:txPr>
    </c:legend>
    <c:plotVisOnly val="1"/>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further education college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28.48513061160331</c:v>
                </c:pt>
                <c:pt idx="1">
                  <c:v>29.605235190971101</c:v>
                </c:pt>
                <c:pt idx="2">
                  <c:v>30.300154923731206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17.563927110159259</c:v>
                </c:pt>
                <c:pt idx="1">
                  <c:v>17.66418506351831</c:v>
                </c:pt>
                <c:pt idx="2">
                  <c:v>18.660684028767147</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23.805472220345656</c:v>
                </c:pt>
                <c:pt idx="1">
                  <c:v>24.400536613924633</c:v>
                </c:pt>
                <c:pt idx="2">
                  <c:v>25.254856677641978</c:v>
                </c:pt>
              </c:numCache>
            </c:numRef>
          </c:val>
        </c:ser>
        <c:ser>
          <c:idx val="3"/>
          <c:order val="3"/>
          <c:tx>
            <c:strRef>
              <c:f>Sheet1!$E$383</c:f>
              <c:strCache>
                <c:ptCount val="1"/>
                <c:pt idx="0">
                  <c:v>Uttlesford</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26.679758551310517</c:v>
                </c:pt>
                <c:pt idx="1">
                  <c:v>26.863632987891275</c:v>
                </c:pt>
                <c:pt idx="2">
                  <c:v>27.562276910489889</c:v>
                </c:pt>
              </c:numCache>
            </c:numRef>
          </c:val>
        </c:ser>
        <c:marker val="1"/>
        <c:axId val="162579200"/>
        <c:axId val="162580736"/>
      </c:lineChart>
      <c:catAx>
        <c:axId val="162579200"/>
        <c:scaling>
          <c:orientation val="minMax"/>
        </c:scaling>
        <c:axPos val="b"/>
        <c:numFmt formatCode="General" sourceLinked="1"/>
        <c:tickLblPos val="nextTo"/>
        <c:crossAx val="162580736"/>
        <c:crosses val="autoZero"/>
        <c:auto val="1"/>
        <c:lblAlgn val="ctr"/>
        <c:lblOffset val="100"/>
      </c:catAx>
      <c:valAx>
        <c:axId val="16258073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579200"/>
        <c:crosses val="autoZero"/>
        <c:crossBetween val="between"/>
      </c:valAx>
    </c:plotArea>
    <c:legend>
      <c:legendPos val="r"/>
      <c:txPr>
        <a:bodyPr/>
        <a:lstStyle/>
        <a:p>
          <a:pPr>
            <a:defRPr sz="800"/>
          </a:pPr>
          <a:endParaRPr lang="en-US"/>
        </a:p>
      </c:txPr>
    </c:legend>
    <c:plotVisOnly val="1"/>
  </c:chart>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further education colleges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1.2483917555971511</c:v>
                </c:pt>
                <c:pt idx="1">
                  <c:v>1.2112200818703358</c:v>
                </c:pt>
                <c:pt idx="2">
                  <c:v>1.1339868061820082</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4.2870666597036724</c:v>
                </c:pt>
                <c:pt idx="1">
                  <c:v>4.2331331942543882</c:v>
                </c:pt>
                <c:pt idx="2">
                  <c:v>3.878041084329265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2.0999154189398976</c:v>
                </c:pt>
                <c:pt idx="1">
                  <c:v>2.0557686780968147</c:v>
                </c:pt>
                <c:pt idx="2">
                  <c:v>1.8822027679813851</c:v>
                </c:pt>
              </c:numCache>
            </c:numRef>
          </c:val>
        </c:ser>
        <c:ser>
          <c:idx val="3"/>
          <c:order val="3"/>
          <c:tx>
            <c:strRef>
              <c:f>Sheet1!$AL$383</c:f>
              <c:strCache>
                <c:ptCount val="1"/>
                <c:pt idx="0">
                  <c:v>Uttlesford</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1.2807190347205111</c:v>
                </c:pt>
                <c:pt idx="1">
                  <c:v>1.3643603782976599</c:v>
                </c:pt>
                <c:pt idx="2">
                  <c:v>1.2451468392234899</c:v>
                </c:pt>
              </c:numCache>
            </c:numRef>
          </c:val>
        </c:ser>
        <c:axId val="162620544"/>
        <c:axId val="162622080"/>
      </c:barChart>
      <c:catAx>
        <c:axId val="162620544"/>
        <c:scaling>
          <c:orientation val="minMax"/>
        </c:scaling>
        <c:axPos val="b"/>
        <c:numFmt formatCode="General" sourceLinked="1"/>
        <c:tickLblPos val="nextTo"/>
        <c:crossAx val="162622080"/>
        <c:crosses val="autoZero"/>
        <c:auto val="1"/>
        <c:lblAlgn val="ctr"/>
        <c:lblOffset val="100"/>
      </c:catAx>
      <c:valAx>
        <c:axId val="162622080"/>
        <c:scaling>
          <c:orientation val="minMax"/>
        </c:scaling>
        <c:axPos val="l"/>
        <c:majorGridlines/>
        <c:numFmt formatCode="General" sourceLinked="1"/>
        <c:tickLblPos val="nextTo"/>
        <c:txPr>
          <a:bodyPr/>
          <a:lstStyle/>
          <a:p>
            <a:pPr>
              <a:defRPr sz="800"/>
            </a:pPr>
            <a:endParaRPr lang="en-US"/>
          </a:p>
        </c:txPr>
        <c:crossAx val="162620544"/>
        <c:crosses val="autoZero"/>
        <c:crossBetween val="between"/>
      </c:valAx>
    </c:plotArea>
    <c:legend>
      <c:legendPos val="r"/>
      <c:txPr>
        <a:bodyPr/>
        <a:lstStyle/>
        <a:p>
          <a:pPr>
            <a:defRPr sz="800"/>
          </a:pPr>
          <a:endParaRPr lang="en-US"/>
        </a:p>
      </c:txPr>
    </c:legend>
    <c:plotVisOnly val="1"/>
  </c:chart>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further education college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25.856816482670524</c:v>
                </c:pt>
                <c:pt idx="1">
                  <c:v>25.682203436066853</c:v>
                </c:pt>
                <c:pt idx="2">
                  <c:v>26.118913988140598</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13.577634445950547</c:v>
                </c:pt>
                <c:pt idx="1">
                  <c:v>13.610846915481552</c:v>
                </c:pt>
                <c:pt idx="2">
                  <c:v>14.106319831583667</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20.347045247592799</c:v>
                </c:pt>
                <c:pt idx="1">
                  <c:v>20.288046597480772</c:v>
                </c:pt>
                <c:pt idx="2">
                  <c:v>20.74466111282953</c:v>
                </c:pt>
              </c:numCache>
            </c:numRef>
          </c:val>
        </c:ser>
        <c:ser>
          <c:idx val="3"/>
          <c:order val="3"/>
          <c:tx>
            <c:strRef>
              <c:f>Sheet1!$P$383</c:f>
              <c:strCache>
                <c:ptCount val="1"/>
                <c:pt idx="0">
                  <c:v>Uttlesford</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24.5613537244657</c:v>
                </c:pt>
                <c:pt idx="1">
                  <c:v>25.120666948624887</c:v>
                </c:pt>
                <c:pt idx="2">
                  <c:v>24.549039106891499</c:v>
                </c:pt>
              </c:numCache>
            </c:numRef>
          </c:val>
        </c:ser>
        <c:marker val="1"/>
        <c:axId val="162677888"/>
        <c:axId val="162679424"/>
      </c:lineChart>
      <c:catAx>
        <c:axId val="162677888"/>
        <c:scaling>
          <c:orientation val="minMax"/>
        </c:scaling>
        <c:axPos val="b"/>
        <c:numFmt formatCode="General" sourceLinked="1"/>
        <c:tickLblPos val="nextTo"/>
        <c:crossAx val="162679424"/>
        <c:crosses val="autoZero"/>
        <c:auto val="1"/>
        <c:lblAlgn val="ctr"/>
        <c:lblOffset val="100"/>
      </c:catAx>
      <c:valAx>
        <c:axId val="16267942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677888"/>
        <c:crosses val="autoZero"/>
        <c:crossBetween val="between"/>
      </c:valAx>
    </c:plotArea>
    <c:legend>
      <c:legendPos val="r"/>
      <c:txPr>
        <a:bodyPr/>
        <a:lstStyle/>
        <a:p>
          <a:pPr>
            <a:defRPr sz="800"/>
          </a:pPr>
          <a:endParaRPr lang="en-US"/>
        </a:p>
      </c:txPr>
    </c:legend>
    <c:plotVisOnly val="1"/>
  </c:chart>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further education colleges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1.399732073880916</c:v>
                </c:pt>
                <c:pt idx="1">
                  <c:v>1.382528951336494</c:v>
                </c:pt>
                <c:pt idx="2">
                  <c:v>1.3046671896034261</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6.324796329806424</c:v>
                </c:pt>
                <c:pt idx="1">
                  <c:v>6.3309634298953714</c:v>
                </c:pt>
                <c:pt idx="2">
                  <c:v>6.0153368354200767</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3.0567453001810678</c:v>
                </c:pt>
                <c:pt idx="1">
                  <c:v>3.0616312929727099</c:v>
                </c:pt>
                <c:pt idx="2">
                  <c:v>2.8629647245747663</c:v>
                </c:pt>
              </c:numCache>
            </c:numRef>
          </c:val>
        </c:ser>
        <c:ser>
          <c:idx val="3"/>
          <c:order val="3"/>
          <c:tx>
            <c:strRef>
              <c:f>Sheet1!$AW$383</c:f>
              <c:strCache>
                <c:ptCount val="1"/>
                <c:pt idx="0">
                  <c:v>Uttlesford</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1.36271854223098</c:v>
                </c:pt>
                <c:pt idx="1">
                  <c:v>1.34544549527128</c:v>
                </c:pt>
                <c:pt idx="2">
                  <c:v>1.3499253359880499</c:v>
                </c:pt>
              </c:numCache>
            </c:numRef>
          </c:val>
        </c:ser>
        <c:axId val="162723328"/>
        <c:axId val="162724864"/>
      </c:barChart>
      <c:catAx>
        <c:axId val="162723328"/>
        <c:scaling>
          <c:orientation val="minMax"/>
        </c:scaling>
        <c:axPos val="b"/>
        <c:numFmt formatCode="General" sourceLinked="1"/>
        <c:tickLblPos val="nextTo"/>
        <c:crossAx val="162724864"/>
        <c:crosses val="autoZero"/>
        <c:auto val="1"/>
        <c:lblAlgn val="ctr"/>
        <c:lblOffset val="100"/>
      </c:catAx>
      <c:valAx>
        <c:axId val="162724864"/>
        <c:scaling>
          <c:orientation val="minMax"/>
        </c:scaling>
        <c:axPos val="l"/>
        <c:majorGridlines/>
        <c:numFmt formatCode="General" sourceLinked="1"/>
        <c:tickLblPos val="nextTo"/>
        <c:txPr>
          <a:bodyPr/>
          <a:lstStyle/>
          <a:p>
            <a:pPr>
              <a:defRPr sz="800"/>
            </a:pPr>
            <a:endParaRPr lang="en-US"/>
          </a:p>
        </c:txPr>
        <c:crossAx val="162723328"/>
        <c:crosses val="autoZero"/>
        <c:crossBetween val="between"/>
      </c:valAx>
    </c:plotArea>
    <c:legend>
      <c:legendPos val="r"/>
      <c:txPr>
        <a:bodyPr/>
        <a:lstStyle/>
        <a:p>
          <a:pPr>
            <a:defRPr sz="800"/>
          </a:pPr>
          <a:endParaRPr lang="en-US"/>
        </a:p>
      </c:txPr>
    </c:legend>
    <c:plotVisOnly val="1"/>
  </c:chart>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further education college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13.740378949896888</c:v>
                </c:pt>
                <c:pt idx="1">
                  <c:v>13.73060419479131</c:v>
                </c:pt>
                <c:pt idx="2">
                  <c:v>14.147957111368399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10.405871096220094</c:v>
                </c:pt>
                <c:pt idx="1">
                  <c:v>10.138128211590052</c:v>
                </c:pt>
                <c:pt idx="2">
                  <c:v>10.902071617933165</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12.315597199915652</c:v>
                </c:pt>
                <c:pt idx="1">
                  <c:v>12.198077788939539</c:v>
                </c:pt>
                <c:pt idx="2">
                  <c:v>12.734458463194871</c:v>
                </c:pt>
              </c:numCache>
            </c:numRef>
          </c:val>
        </c:ser>
        <c:ser>
          <c:idx val="3"/>
          <c:order val="3"/>
          <c:tx>
            <c:strRef>
              <c:f>Sheet1!$AA$383</c:f>
              <c:strCache>
                <c:ptCount val="1"/>
                <c:pt idx="0">
                  <c:v>Uttlesford</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12.938546617805315</c:v>
                </c:pt>
                <c:pt idx="1">
                  <c:v>13.124828181722082</c:v>
                </c:pt>
                <c:pt idx="2">
                  <c:v>13.351296424109504</c:v>
                </c:pt>
              </c:numCache>
            </c:numRef>
          </c:val>
        </c:ser>
        <c:marker val="1"/>
        <c:axId val="162768384"/>
        <c:axId val="162769920"/>
      </c:lineChart>
      <c:catAx>
        <c:axId val="162768384"/>
        <c:scaling>
          <c:orientation val="minMax"/>
        </c:scaling>
        <c:axPos val="b"/>
        <c:numFmt formatCode="General" sourceLinked="1"/>
        <c:tickLblPos val="nextTo"/>
        <c:crossAx val="162769920"/>
        <c:crosses val="autoZero"/>
        <c:auto val="1"/>
        <c:lblAlgn val="ctr"/>
        <c:lblOffset val="100"/>
      </c:catAx>
      <c:valAx>
        <c:axId val="16276992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768384"/>
        <c:crosses val="autoZero"/>
        <c:crossBetween val="between"/>
      </c:valAx>
    </c:plotArea>
    <c:legend>
      <c:legendPos val="r"/>
      <c:txPr>
        <a:bodyPr/>
        <a:lstStyle/>
        <a:p>
          <a:pPr>
            <a:defRPr sz="800"/>
          </a:pPr>
          <a:endParaRPr lang="en-US"/>
        </a:p>
      </c:txPr>
    </c:legend>
    <c:plotVisOnly val="1"/>
  </c:chart>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further education colleges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6.8427595339716714</c:v>
                </c:pt>
                <c:pt idx="1">
                  <c:v>6.4403684312977507</c:v>
                </c:pt>
                <c:pt idx="2">
                  <c:v>6.193041150199595</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9.6663199121347603</c:v>
                </c:pt>
                <c:pt idx="1">
                  <c:v>9.6683292219804979</c:v>
                </c:pt>
                <c:pt idx="2">
                  <c:v>9.5066260915587755</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8.2231299941577429</c:v>
                </c:pt>
                <c:pt idx="1">
                  <c:v>8.0058859884507498</c:v>
                </c:pt>
                <c:pt idx="2">
                  <c:v>7.7551409214773361</c:v>
                </c:pt>
              </c:numCache>
            </c:numRef>
          </c:val>
        </c:ser>
        <c:ser>
          <c:idx val="3"/>
          <c:order val="3"/>
          <c:tx>
            <c:strRef>
              <c:f>Sheet1!$BH$383</c:f>
              <c:strCache>
                <c:ptCount val="1"/>
                <c:pt idx="0">
                  <c:v>Uttlesford</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9.120906180743658</c:v>
                </c:pt>
                <c:pt idx="1">
                  <c:v>8.2551020408163307</c:v>
                </c:pt>
                <c:pt idx="2">
                  <c:v>7.7672971627675498</c:v>
                </c:pt>
              </c:numCache>
            </c:numRef>
          </c:val>
        </c:ser>
        <c:axId val="162875648"/>
        <c:axId val="162897920"/>
      </c:barChart>
      <c:catAx>
        <c:axId val="162875648"/>
        <c:scaling>
          <c:orientation val="minMax"/>
        </c:scaling>
        <c:axPos val="b"/>
        <c:numFmt formatCode="General" sourceLinked="1"/>
        <c:tickLblPos val="nextTo"/>
        <c:crossAx val="162897920"/>
        <c:crosses val="autoZero"/>
        <c:auto val="1"/>
        <c:lblAlgn val="ctr"/>
        <c:lblOffset val="100"/>
      </c:catAx>
      <c:valAx>
        <c:axId val="162897920"/>
        <c:scaling>
          <c:orientation val="minMax"/>
        </c:scaling>
        <c:axPos val="l"/>
        <c:majorGridlines/>
        <c:numFmt formatCode="General" sourceLinked="1"/>
        <c:tickLblPos val="nextTo"/>
        <c:txPr>
          <a:bodyPr/>
          <a:lstStyle/>
          <a:p>
            <a:pPr>
              <a:defRPr sz="800"/>
            </a:pPr>
            <a:endParaRPr lang="en-US"/>
          </a:p>
        </c:txPr>
        <c:crossAx val="162875648"/>
        <c:crosses val="autoZero"/>
        <c:crossBetween val="between"/>
      </c:valAx>
    </c:plotArea>
    <c:legend>
      <c:legendPos val="r"/>
      <c:txPr>
        <a:bodyPr/>
        <a:lstStyle/>
        <a:p>
          <a:pPr>
            <a:defRPr sz="800"/>
          </a:pPr>
          <a:endParaRPr lang="en-US"/>
        </a:p>
      </c:txPr>
    </c:legend>
    <c:plotVisOnly val="1"/>
  </c:chart>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GP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16.04580775309589</c:v>
                </c:pt>
                <c:pt idx="1">
                  <c:v>16.466500173897643</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9.4531028921148028</c:v>
                </c:pt>
                <c:pt idx="1">
                  <c:v>9.6702875926913556</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13.37606548060765</c:v>
                </c:pt>
                <c:pt idx="1">
                  <c:v>13.687586615369806</c:v>
                </c:pt>
              </c:numCache>
            </c:numRef>
          </c:val>
        </c:ser>
        <c:ser>
          <c:idx val="3"/>
          <c:order val="3"/>
          <c:tx>
            <c:strRef>
              <c:f>Sheet1!$E$383</c:f>
              <c:strCache>
                <c:ptCount val="1"/>
                <c:pt idx="0">
                  <c:v>Uttlesford</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15.585574834369224</c:v>
                </c:pt>
                <c:pt idx="1">
                  <c:v>15.079801340989302</c:v>
                </c:pt>
              </c:numCache>
            </c:numRef>
          </c:val>
        </c:ser>
        <c:marker val="1"/>
        <c:axId val="162916608"/>
        <c:axId val="162791424"/>
      </c:lineChart>
      <c:catAx>
        <c:axId val="162916608"/>
        <c:scaling>
          <c:orientation val="minMax"/>
        </c:scaling>
        <c:axPos val="b"/>
        <c:numFmt formatCode="General" sourceLinked="1"/>
        <c:tickLblPos val="nextTo"/>
        <c:crossAx val="162791424"/>
        <c:crosses val="autoZero"/>
        <c:auto val="1"/>
        <c:lblAlgn val="ctr"/>
        <c:lblOffset val="100"/>
      </c:catAx>
      <c:valAx>
        <c:axId val="16279142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916608"/>
        <c:crosses val="autoZero"/>
        <c:crossBetween val="between"/>
      </c:valAx>
    </c:plotArea>
    <c:legend>
      <c:legendPos val="r"/>
      <c:txPr>
        <a:bodyPr/>
        <a:lstStyle/>
        <a:p>
          <a:pPr>
            <a:defRPr sz="800"/>
          </a:pPr>
          <a:endParaRPr lang="en-US"/>
        </a:p>
      </c:txPr>
    </c:legend>
    <c:plotVisOnly val="1"/>
  </c:chart>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GPs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4.0971148882304931</c:v>
                </c:pt>
                <c:pt idx="1">
                  <c:v>4.4173079784576625</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8.9067336346921397</c:v>
                </c:pt>
                <c:pt idx="1">
                  <c:v>9.1375224163466378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6.1300301612453092</c:v>
                </c:pt>
                <c:pt idx="1">
                  <c:v>6.4747309966961719</c:v>
                </c:pt>
              </c:numCache>
            </c:numRef>
          </c:val>
        </c:ser>
        <c:ser>
          <c:idx val="3"/>
          <c:order val="3"/>
          <c:tx>
            <c:strRef>
              <c:f>Sheet1!$AL$383</c:f>
              <c:strCache>
                <c:ptCount val="1"/>
                <c:pt idx="0">
                  <c:v>Uttlesford</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3.9173515701668302</c:v>
                </c:pt>
                <c:pt idx="1">
                  <c:v>4.5194388895424096</c:v>
                </c:pt>
              </c:numCache>
            </c:numRef>
          </c:val>
        </c:ser>
        <c:axId val="162835072"/>
        <c:axId val="162845056"/>
      </c:barChart>
      <c:catAx>
        <c:axId val="162835072"/>
        <c:scaling>
          <c:orientation val="minMax"/>
        </c:scaling>
        <c:axPos val="b"/>
        <c:numFmt formatCode="General" sourceLinked="1"/>
        <c:tickLblPos val="nextTo"/>
        <c:crossAx val="162845056"/>
        <c:crosses val="autoZero"/>
        <c:auto val="1"/>
        <c:lblAlgn val="ctr"/>
        <c:lblOffset val="100"/>
      </c:catAx>
      <c:valAx>
        <c:axId val="162845056"/>
        <c:scaling>
          <c:orientation val="minMax"/>
        </c:scaling>
        <c:axPos val="l"/>
        <c:majorGridlines/>
        <c:numFmt formatCode="General" sourceLinked="1"/>
        <c:tickLblPos val="nextTo"/>
        <c:txPr>
          <a:bodyPr/>
          <a:lstStyle/>
          <a:p>
            <a:pPr>
              <a:defRPr sz="800"/>
            </a:pPr>
            <a:endParaRPr lang="en-US"/>
          </a:p>
        </c:txPr>
        <c:crossAx val="162835072"/>
        <c:crosses val="autoZero"/>
        <c:crossBetween val="between"/>
      </c:valAx>
    </c:plotArea>
    <c:legend>
      <c:legendPos val="r"/>
      <c:txPr>
        <a:bodyPr/>
        <a:lstStyle/>
        <a:p>
          <a:pPr>
            <a:defRPr sz="800"/>
          </a:pPr>
          <a:endParaRPr lang="en-US"/>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GB"/>
  <c:chart>
    <c:title>
      <c:tx>
        <c:strRef>
          <c:f>Sheet1!$AB$379</c:f>
          <c:strCache>
            <c:ptCount val="1"/>
            <c:pt idx="0">
              <c:v>Travel time to nearest employment centre with 100 to 499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Sheet1!$AB$380</c:f>
              <c:strCache>
                <c:ptCount val="1"/>
                <c:pt idx="0">
                  <c:v>Predominantly Rural average</c:v>
                </c:pt>
              </c:strCache>
            </c:strRef>
          </c:tx>
          <c:spPr>
            <a:ln w="25400">
              <a:solidFill>
                <a:schemeClr val="bg1">
                  <a:lumMod val="65000"/>
                </a:schemeClr>
              </a:solidFill>
            </a:ln>
          </c:spPr>
          <c:marker>
            <c:symbol val="none"/>
          </c:marker>
          <c:cat>
            <c:numRef>
              <c:f>Sheet1!$AC$379:$AE$379</c:f>
              <c:numCache>
                <c:formatCode>General</c:formatCode>
                <c:ptCount val="3"/>
                <c:pt idx="0">
                  <c:v>2014</c:v>
                </c:pt>
                <c:pt idx="1">
                  <c:v>2015</c:v>
                </c:pt>
                <c:pt idx="2">
                  <c:v>2016</c:v>
                </c:pt>
              </c:numCache>
            </c:numRef>
          </c:cat>
          <c:val>
            <c:numRef>
              <c:f>Sheet1!$AC$380:$AE$380</c:f>
              <c:numCache>
                <c:formatCode>General</c:formatCode>
                <c:ptCount val="3"/>
                <c:pt idx="0">
                  <c:v>9.1411659764747473</c:v>
                </c:pt>
                <c:pt idx="1">
                  <c:v>9.0996803057103026</c:v>
                </c:pt>
                <c:pt idx="2">
                  <c:v>9.2291327650927109</c:v>
                </c:pt>
              </c:numCache>
            </c:numRef>
          </c:val>
        </c:ser>
        <c:ser>
          <c:idx val="2"/>
          <c:order val="1"/>
          <c:tx>
            <c:strRef>
              <c:f>Sheet1!$AB$381</c:f>
              <c:strCache>
                <c:ptCount val="1"/>
                <c:pt idx="0">
                  <c:v>Predominantly Urban average</c:v>
                </c:pt>
              </c:strCache>
            </c:strRef>
          </c:tx>
          <c:spPr>
            <a:ln w="25400">
              <a:solidFill>
                <a:schemeClr val="accent6">
                  <a:lumMod val="75000"/>
                </a:schemeClr>
              </a:solidFill>
              <a:prstDash val="sysDash"/>
            </a:ln>
          </c:spPr>
          <c:marker>
            <c:symbol val="none"/>
          </c:marker>
          <c:cat>
            <c:numRef>
              <c:f>Sheet1!$AC$379:$AE$379</c:f>
              <c:numCache>
                <c:formatCode>General</c:formatCode>
                <c:ptCount val="3"/>
                <c:pt idx="0">
                  <c:v>2014</c:v>
                </c:pt>
                <c:pt idx="1">
                  <c:v>2015</c:v>
                </c:pt>
                <c:pt idx="2">
                  <c:v>2016</c:v>
                </c:pt>
              </c:numCache>
            </c:numRef>
          </c:cat>
          <c:val>
            <c:numRef>
              <c:f>Sheet1!$AC$381:$AE$381</c:f>
              <c:numCache>
                <c:formatCode>General</c:formatCode>
                <c:ptCount val="3"/>
                <c:pt idx="0">
                  <c:v>7.2347379951063724</c:v>
                </c:pt>
                <c:pt idx="1">
                  <c:v>7.1007334154115336</c:v>
                </c:pt>
                <c:pt idx="2">
                  <c:v>7.3183307355858895</c:v>
                </c:pt>
              </c:numCache>
            </c:numRef>
          </c:val>
        </c:ser>
        <c:ser>
          <c:idx val="3"/>
          <c:order val="2"/>
          <c:tx>
            <c:strRef>
              <c:f>Sheet1!$AB$382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Sheet1!$AC$379:$AE$379</c:f>
              <c:numCache>
                <c:formatCode>General</c:formatCode>
                <c:ptCount val="3"/>
                <c:pt idx="0">
                  <c:v>2014</c:v>
                </c:pt>
                <c:pt idx="1">
                  <c:v>2015</c:v>
                </c:pt>
                <c:pt idx="2">
                  <c:v>2016</c:v>
                </c:pt>
              </c:numCache>
            </c:numRef>
          </c:cat>
          <c:val>
            <c:numRef>
              <c:f>Sheet1!$AC$382:$AE$382</c:f>
              <c:numCache>
                <c:formatCode>General</c:formatCode>
                <c:ptCount val="3"/>
                <c:pt idx="0">
                  <c:v>8.2309952081885314</c:v>
                </c:pt>
                <c:pt idx="1">
                  <c:v>8.1657170218038697</c:v>
                </c:pt>
                <c:pt idx="2">
                  <c:v>8.3218929873168683</c:v>
                </c:pt>
              </c:numCache>
            </c:numRef>
          </c:val>
        </c:ser>
        <c:ser>
          <c:idx val="4"/>
          <c:order val="3"/>
          <c:tx>
            <c:strRef>
              <c:f>Sheet1!$AB$383</c:f>
              <c:strCache>
                <c:ptCount val="1"/>
                <c:pt idx="0">
                  <c:v>Uttlesford</c:v>
                </c:pt>
              </c:strCache>
            </c:strRef>
          </c:tx>
          <c:spPr>
            <a:ln w="25400">
              <a:solidFill>
                <a:schemeClr val="tx1"/>
              </a:solidFill>
            </a:ln>
          </c:spPr>
          <c:marker>
            <c:symbol val="none"/>
          </c:marker>
          <c:cat>
            <c:numRef>
              <c:f>Sheet1!$AC$379:$AE$379</c:f>
              <c:numCache>
                <c:formatCode>General</c:formatCode>
                <c:ptCount val="3"/>
                <c:pt idx="0">
                  <c:v>2014</c:v>
                </c:pt>
                <c:pt idx="1">
                  <c:v>2015</c:v>
                </c:pt>
                <c:pt idx="2">
                  <c:v>2016</c:v>
                </c:pt>
              </c:numCache>
            </c:numRef>
          </c:cat>
          <c:val>
            <c:numRef>
              <c:f>Sheet1!$AC$383:$AE$383</c:f>
              <c:numCache>
                <c:formatCode>General</c:formatCode>
                <c:ptCount val="3"/>
                <c:pt idx="0">
                  <c:v>9.3211433783876725</c:v>
                </c:pt>
                <c:pt idx="1">
                  <c:v>10.087177838638199</c:v>
                </c:pt>
                <c:pt idx="2">
                  <c:v>10.6067880435756</c:v>
                </c:pt>
              </c:numCache>
            </c:numRef>
          </c:val>
        </c:ser>
        <c:marker val="1"/>
        <c:axId val="132096384"/>
        <c:axId val="132097920"/>
      </c:lineChart>
      <c:catAx>
        <c:axId val="132096384"/>
        <c:scaling>
          <c:orientation val="minMax"/>
        </c:scaling>
        <c:axPos val="b"/>
        <c:numFmt formatCode="General" sourceLinked="1"/>
        <c:tickLblPos val="nextTo"/>
        <c:crossAx val="132097920"/>
        <c:crosses val="autoZero"/>
        <c:auto val="1"/>
        <c:lblAlgn val="ctr"/>
        <c:lblOffset val="100"/>
      </c:catAx>
      <c:valAx>
        <c:axId val="132097920"/>
        <c:scaling>
          <c:orientation val="minMax"/>
        </c:scaling>
        <c:axPos val="l"/>
        <c:majorGridlines/>
        <c:title>
          <c:tx>
            <c:strRef>
              <c:f>Sheet1!$AB$384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32096384"/>
        <c:crosses val="autoZero"/>
        <c:crossBetween val="between"/>
      </c:valAx>
    </c:plotArea>
    <c:legend>
      <c:legendPos val="r"/>
      <c:txPr>
        <a:bodyPr/>
        <a:lstStyle/>
        <a:p>
          <a:pPr>
            <a:defRPr sz="800"/>
          </a:pPr>
          <a:endParaRPr lang="en-US"/>
        </a:p>
      </c:txPr>
    </c:legend>
    <c:plotVisOnly val="1"/>
  </c:chart>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GP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12.589940856136282</c:v>
                </c:pt>
                <c:pt idx="1">
                  <c:v>12.860578278594355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8.3995536618610025</c:v>
                </c:pt>
                <c:pt idx="1">
                  <c:v>8.8403511598050333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10.765080643746771</c:v>
                </c:pt>
                <c:pt idx="1">
                  <c:v>11.131117434036641</c:v>
                </c:pt>
              </c:numCache>
            </c:numRef>
          </c:val>
        </c:ser>
        <c:ser>
          <c:idx val="3"/>
          <c:order val="3"/>
          <c:tx>
            <c:strRef>
              <c:f>Sheet1!$P$383</c:f>
              <c:strCache>
                <c:ptCount val="1"/>
                <c:pt idx="0">
                  <c:v>Uttlesford</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13.486000749851801</c:v>
                </c:pt>
                <c:pt idx="1">
                  <c:v>13.864753697764309</c:v>
                </c:pt>
              </c:numCache>
            </c:numRef>
          </c:val>
        </c:ser>
        <c:marker val="1"/>
        <c:axId val="162941568"/>
        <c:axId val="162947456"/>
      </c:lineChart>
      <c:catAx>
        <c:axId val="162941568"/>
        <c:scaling>
          <c:orientation val="minMax"/>
        </c:scaling>
        <c:axPos val="b"/>
        <c:numFmt formatCode="General" sourceLinked="1"/>
        <c:tickLblPos val="nextTo"/>
        <c:crossAx val="162947456"/>
        <c:crosses val="autoZero"/>
        <c:auto val="1"/>
        <c:lblAlgn val="ctr"/>
        <c:lblOffset val="100"/>
      </c:catAx>
      <c:valAx>
        <c:axId val="16294745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941568"/>
        <c:crosses val="autoZero"/>
        <c:crossBetween val="between"/>
      </c:valAx>
    </c:plotArea>
    <c:legend>
      <c:legendPos val="r"/>
      <c:txPr>
        <a:bodyPr/>
        <a:lstStyle/>
        <a:p>
          <a:pPr>
            <a:defRPr sz="800"/>
          </a:pPr>
          <a:endParaRPr lang="en-US"/>
        </a:p>
      </c:txPr>
    </c:legend>
    <c:plotVisOnly val="1"/>
  </c:chart>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GPs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3.8716519768247979</c:v>
                </c:pt>
                <c:pt idx="1">
                  <c:v>4.3589576312148619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9.5402787050042619</c:v>
                </c:pt>
                <c:pt idx="1">
                  <c:v>9.6327263841582624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6.5773935061725384</c:v>
                </c:pt>
                <c:pt idx="1">
                  <c:v>6.9319420329948933</c:v>
                </c:pt>
              </c:numCache>
            </c:numRef>
          </c:val>
        </c:ser>
        <c:ser>
          <c:idx val="3"/>
          <c:order val="3"/>
          <c:tx>
            <c:strRef>
              <c:f>Sheet1!$AW$383</c:f>
              <c:strCache>
                <c:ptCount val="1"/>
                <c:pt idx="0">
                  <c:v>Uttlesford</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3.4924558390578953</c:v>
                </c:pt>
                <c:pt idx="1">
                  <c:v>4.0064404187742646</c:v>
                </c:pt>
              </c:numCache>
            </c:numRef>
          </c:val>
        </c:ser>
        <c:axId val="162987008"/>
        <c:axId val="163005184"/>
      </c:barChart>
      <c:catAx>
        <c:axId val="162987008"/>
        <c:scaling>
          <c:orientation val="minMax"/>
        </c:scaling>
        <c:axPos val="b"/>
        <c:numFmt formatCode="General" sourceLinked="1"/>
        <c:tickLblPos val="nextTo"/>
        <c:crossAx val="163005184"/>
        <c:crosses val="autoZero"/>
        <c:auto val="1"/>
        <c:lblAlgn val="ctr"/>
        <c:lblOffset val="100"/>
      </c:catAx>
      <c:valAx>
        <c:axId val="163005184"/>
        <c:scaling>
          <c:orientation val="minMax"/>
        </c:scaling>
        <c:axPos val="l"/>
        <c:majorGridlines/>
        <c:numFmt formatCode="General" sourceLinked="1"/>
        <c:tickLblPos val="nextTo"/>
        <c:txPr>
          <a:bodyPr/>
          <a:lstStyle/>
          <a:p>
            <a:pPr>
              <a:defRPr sz="800"/>
            </a:pPr>
            <a:endParaRPr lang="en-US"/>
          </a:p>
        </c:txPr>
        <c:crossAx val="162987008"/>
        <c:crosses val="autoZero"/>
        <c:crossBetween val="between"/>
      </c:valAx>
    </c:plotArea>
    <c:legend>
      <c:legendPos val="r"/>
      <c:txPr>
        <a:bodyPr/>
        <a:lstStyle/>
        <a:p>
          <a:pPr>
            <a:defRPr sz="800"/>
          </a:pPr>
          <a:endParaRPr lang="en-US"/>
        </a:p>
      </c:txPr>
    </c:legend>
    <c:plotVisOnly val="1"/>
  </c:chart>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GP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8.9894970042496354</c:v>
                </c:pt>
                <c:pt idx="1">
                  <c:v>8.8162809128798205</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7.6788019024738814</c:v>
                </c:pt>
                <c:pt idx="1">
                  <c:v>7.4908953976403012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8.4537833969876957</c:v>
                </c:pt>
                <c:pt idx="1">
                  <c:v>8.2952346575765237</c:v>
                </c:pt>
              </c:numCache>
            </c:numRef>
          </c:val>
        </c:ser>
        <c:ser>
          <c:idx val="3"/>
          <c:order val="3"/>
          <c:tx>
            <c:strRef>
              <c:f>Sheet1!$AA$383</c:f>
              <c:strCache>
                <c:ptCount val="1"/>
                <c:pt idx="0">
                  <c:v>Uttlesford</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9.0627043090791712</c:v>
                </c:pt>
                <c:pt idx="1">
                  <c:v>8.8727762309237814</c:v>
                </c:pt>
              </c:numCache>
            </c:numRef>
          </c:val>
        </c:ser>
        <c:marker val="1"/>
        <c:axId val="163036160"/>
        <c:axId val="163042048"/>
      </c:lineChart>
      <c:catAx>
        <c:axId val="163036160"/>
        <c:scaling>
          <c:orientation val="minMax"/>
        </c:scaling>
        <c:axPos val="b"/>
        <c:numFmt formatCode="General" sourceLinked="1"/>
        <c:tickLblPos val="nextTo"/>
        <c:crossAx val="163042048"/>
        <c:crosses val="autoZero"/>
        <c:auto val="1"/>
        <c:lblAlgn val="ctr"/>
        <c:lblOffset val="100"/>
      </c:catAx>
      <c:valAx>
        <c:axId val="16304204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036160"/>
        <c:crosses val="autoZero"/>
        <c:crossBetween val="between"/>
      </c:valAx>
    </c:plotArea>
    <c:legend>
      <c:legendPos val="r"/>
      <c:txPr>
        <a:bodyPr/>
        <a:lstStyle/>
        <a:p>
          <a:pPr>
            <a:defRPr sz="800"/>
          </a:pPr>
          <a:endParaRPr lang="en-US"/>
        </a:p>
      </c:txPr>
    </c:legend>
    <c:plotVisOnly val="1"/>
  </c:chart>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GPs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9.7107169334079568</c:v>
                </c:pt>
                <c:pt idx="1">
                  <c:v>9.7568102408964279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9.9756998159148988</c:v>
                </c:pt>
                <c:pt idx="1">
                  <c:v>9.9958459569313867</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9.8589299801927819</c:v>
                </c:pt>
                <c:pt idx="1">
                  <c:v>9.8956700333250325</c:v>
                </c:pt>
              </c:numCache>
            </c:numRef>
          </c:val>
        </c:ser>
        <c:ser>
          <c:idx val="3"/>
          <c:order val="3"/>
          <c:tx>
            <c:strRef>
              <c:f>Sheet1!$BH$383</c:f>
              <c:strCache>
                <c:ptCount val="1"/>
                <c:pt idx="0">
                  <c:v>Uttlesford</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10</c:v>
                </c:pt>
                <c:pt idx="1">
                  <c:v>10</c:v>
                </c:pt>
              </c:numCache>
            </c:numRef>
          </c:val>
        </c:ser>
        <c:axId val="163081600"/>
        <c:axId val="163087488"/>
      </c:barChart>
      <c:catAx>
        <c:axId val="163081600"/>
        <c:scaling>
          <c:orientation val="minMax"/>
        </c:scaling>
        <c:axPos val="b"/>
        <c:numFmt formatCode="General" sourceLinked="1"/>
        <c:tickLblPos val="nextTo"/>
        <c:crossAx val="163087488"/>
        <c:crosses val="autoZero"/>
        <c:auto val="1"/>
        <c:lblAlgn val="ctr"/>
        <c:lblOffset val="100"/>
      </c:catAx>
      <c:valAx>
        <c:axId val="163087488"/>
        <c:scaling>
          <c:orientation val="minMax"/>
        </c:scaling>
        <c:axPos val="l"/>
        <c:majorGridlines/>
        <c:numFmt formatCode="General" sourceLinked="1"/>
        <c:tickLblPos val="nextTo"/>
        <c:txPr>
          <a:bodyPr/>
          <a:lstStyle/>
          <a:p>
            <a:pPr>
              <a:defRPr sz="800"/>
            </a:pPr>
            <a:endParaRPr lang="en-US"/>
          </a:p>
        </c:txPr>
        <c:crossAx val="163081600"/>
        <c:crosses val="autoZero"/>
        <c:crossBetween val="between"/>
      </c:valAx>
    </c:plotArea>
    <c:legend>
      <c:legendPos val="r"/>
      <c:txPr>
        <a:bodyPr/>
        <a:lstStyle/>
        <a:p>
          <a:pPr>
            <a:defRPr sz="800"/>
          </a:pPr>
          <a:endParaRPr lang="en-US"/>
        </a:p>
      </c:txPr>
    </c:legend>
    <c:plotVisOnly val="1"/>
  </c:chart>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hospital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53.412519562928551</c:v>
                </c:pt>
                <c:pt idx="1">
                  <c:v>57.148387670283334</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31.656542651292806</c:v>
                </c:pt>
                <c:pt idx="1">
                  <c:v>33.283915632687012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43.439136238426194</c:v>
                </c:pt>
                <c:pt idx="1">
                  <c:v>46.078998864230499</c:v>
                </c:pt>
              </c:numCache>
            </c:numRef>
          </c:val>
        </c:ser>
        <c:ser>
          <c:idx val="3"/>
          <c:order val="3"/>
          <c:tx>
            <c:strRef>
              <c:f>Sheet1!$E$383</c:f>
              <c:strCache>
                <c:ptCount val="1"/>
                <c:pt idx="0">
                  <c:v>Uttlesford</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49.166603764074935</c:v>
                </c:pt>
                <c:pt idx="1">
                  <c:v>50.616032600679311</c:v>
                </c:pt>
              </c:numCache>
            </c:numRef>
          </c:val>
        </c:ser>
        <c:marker val="1"/>
        <c:axId val="163131392"/>
        <c:axId val="163132928"/>
      </c:lineChart>
      <c:catAx>
        <c:axId val="163131392"/>
        <c:scaling>
          <c:orientation val="minMax"/>
        </c:scaling>
        <c:axPos val="b"/>
        <c:numFmt formatCode="General" sourceLinked="1"/>
        <c:tickLblPos val="nextTo"/>
        <c:crossAx val="163132928"/>
        <c:crosses val="autoZero"/>
        <c:auto val="1"/>
        <c:lblAlgn val="ctr"/>
        <c:lblOffset val="100"/>
      </c:catAx>
      <c:valAx>
        <c:axId val="16313292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131392"/>
        <c:crosses val="autoZero"/>
        <c:crossBetween val="between"/>
      </c:valAx>
    </c:plotArea>
    <c:legend>
      <c:legendPos val="r"/>
      <c:txPr>
        <a:bodyPr/>
        <a:lstStyle/>
        <a:p>
          <a:pPr>
            <a:defRPr sz="800"/>
          </a:pPr>
          <a:endParaRPr lang="en-US"/>
        </a:p>
      </c:txPr>
    </c:legend>
    <c:plotVisOnly val="1"/>
  </c:chart>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hospitals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0.19934127571796278</c:v>
                </c:pt>
                <c:pt idx="1">
                  <c:v>0.18079587908351127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0.69143712455687967</c:v>
                </c:pt>
                <c:pt idx="1">
                  <c:v>0.58367292018198558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0.3074449384280738</c:v>
                </c:pt>
                <c:pt idx="1">
                  <c:v>0.28009986851618229</c:v>
                </c:pt>
              </c:numCache>
            </c:numRef>
          </c:val>
        </c:ser>
        <c:ser>
          <c:idx val="3"/>
          <c:order val="3"/>
          <c:tx>
            <c:strRef>
              <c:f>Sheet1!$AL$383</c:f>
              <c:strCache>
                <c:ptCount val="1"/>
                <c:pt idx="0">
                  <c:v>Uttlesford</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0.19685353287536814</c:v>
                </c:pt>
                <c:pt idx="1">
                  <c:v>0.20324079520056501</c:v>
                </c:pt>
              </c:numCache>
            </c:numRef>
          </c:val>
        </c:ser>
        <c:axId val="163176832"/>
        <c:axId val="163178368"/>
      </c:barChart>
      <c:catAx>
        <c:axId val="163176832"/>
        <c:scaling>
          <c:orientation val="minMax"/>
        </c:scaling>
        <c:axPos val="b"/>
        <c:numFmt formatCode="General" sourceLinked="1"/>
        <c:tickLblPos val="nextTo"/>
        <c:crossAx val="163178368"/>
        <c:crosses val="autoZero"/>
        <c:auto val="1"/>
        <c:lblAlgn val="ctr"/>
        <c:lblOffset val="100"/>
      </c:catAx>
      <c:valAx>
        <c:axId val="163178368"/>
        <c:scaling>
          <c:orientation val="minMax"/>
        </c:scaling>
        <c:axPos val="l"/>
        <c:majorGridlines/>
        <c:numFmt formatCode="General" sourceLinked="1"/>
        <c:tickLblPos val="nextTo"/>
        <c:txPr>
          <a:bodyPr/>
          <a:lstStyle/>
          <a:p>
            <a:pPr>
              <a:defRPr sz="800"/>
            </a:pPr>
            <a:endParaRPr lang="en-US"/>
          </a:p>
        </c:txPr>
        <c:crossAx val="163176832"/>
        <c:crosses val="autoZero"/>
        <c:crossBetween val="between"/>
      </c:valAx>
    </c:plotArea>
    <c:legend>
      <c:legendPos val="r"/>
      <c:txPr>
        <a:bodyPr/>
        <a:lstStyle/>
        <a:p>
          <a:pPr>
            <a:defRPr sz="800"/>
          </a:pPr>
          <a:endParaRPr lang="en-US"/>
        </a:p>
      </c:txPr>
    </c:legend>
    <c:plotVisOnly val="1"/>
  </c:chart>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hospital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37.319630827109002</c:v>
                </c:pt>
                <c:pt idx="1">
                  <c:v>61.864633101056725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19.754666624679633</c:v>
                </c:pt>
                <c:pt idx="1">
                  <c:v>26.735403844065353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28.68944844479913</c:v>
                </c:pt>
                <c:pt idx="1">
                  <c:v>44.850405450741754</c:v>
                </c:pt>
              </c:numCache>
            </c:numRef>
          </c:val>
        </c:ser>
        <c:ser>
          <c:idx val="3"/>
          <c:order val="3"/>
          <c:tx>
            <c:strRef>
              <c:f>Sheet1!$P$383</c:f>
              <c:strCache>
                <c:ptCount val="1"/>
                <c:pt idx="0">
                  <c:v>Uttlesford</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34.188684493789438</c:v>
                </c:pt>
                <c:pt idx="1">
                  <c:v>58.883387022873897</c:v>
                </c:pt>
              </c:numCache>
            </c:numRef>
          </c:val>
        </c:ser>
        <c:marker val="1"/>
        <c:axId val="163271040"/>
        <c:axId val="163272576"/>
      </c:lineChart>
      <c:catAx>
        <c:axId val="163271040"/>
        <c:scaling>
          <c:orientation val="minMax"/>
        </c:scaling>
        <c:axPos val="b"/>
        <c:numFmt formatCode="General" sourceLinked="1"/>
        <c:tickLblPos val="nextTo"/>
        <c:crossAx val="163272576"/>
        <c:crosses val="autoZero"/>
        <c:auto val="1"/>
        <c:lblAlgn val="ctr"/>
        <c:lblOffset val="100"/>
      </c:catAx>
      <c:valAx>
        <c:axId val="16327257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271040"/>
        <c:crosses val="autoZero"/>
        <c:crossBetween val="between"/>
      </c:valAx>
    </c:plotArea>
    <c:legend>
      <c:legendPos val="r"/>
      <c:txPr>
        <a:bodyPr/>
        <a:lstStyle/>
        <a:p>
          <a:pPr>
            <a:defRPr sz="800"/>
          </a:pPr>
          <a:endParaRPr lang="en-US"/>
        </a:p>
      </c:txPr>
    </c:legend>
    <c:plotVisOnly val="1"/>
  </c:chart>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hospitals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0.49929021683407482</c:v>
                </c:pt>
                <c:pt idx="1">
                  <c:v>0.19708615162226656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1.986772648121458</c:v>
                </c:pt>
                <c:pt idx="1">
                  <c:v>1.1189991466016569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0.82481686250834452</c:v>
                </c:pt>
                <c:pt idx="1">
                  <c:v>0.39799289195446724</c:v>
                </c:pt>
              </c:numCache>
            </c:numRef>
          </c:val>
        </c:ser>
        <c:ser>
          <c:idx val="3"/>
          <c:order val="3"/>
          <c:tx>
            <c:strRef>
              <c:f>Sheet1!$AW$383</c:f>
              <c:strCache>
                <c:ptCount val="1"/>
                <c:pt idx="0">
                  <c:v>Uttlesford</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0.44418547595682034</c:v>
                </c:pt>
                <c:pt idx="1">
                  <c:v>0.12939654158334299</c:v>
                </c:pt>
              </c:numCache>
            </c:numRef>
          </c:val>
        </c:ser>
        <c:axId val="163320576"/>
        <c:axId val="163322112"/>
      </c:barChart>
      <c:catAx>
        <c:axId val="163320576"/>
        <c:scaling>
          <c:orientation val="minMax"/>
        </c:scaling>
        <c:axPos val="b"/>
        <c:numFmt formatCode="General" sourceLinked="1"/>
        <c:tickLblPos val="nextTo"/>
        <c:crossAx val="163322112"/>
        <c:crosses val="autoZero"/>
        <c:auto val="1"/>
        <c:lblAlgn val="ctr"/>
        <c:lblOffset val="100"/>
      </c:catAx>
      <c:valAx>
        <c:axId val="163322112"/>
        <c:scaling>
          <c:orientation val="minMax"/>
        </c:scaling>
        <c:axPos val="l"/>
        <c:majorGridlines/>
        <c:numFmt formatCode="General" sourceLinked="1"/>
        <c:tickLblPos val="nextTo"/>
        <c:txPr>
          <a:bodyPr/>
          <a:lstStyle/>
          <a:p>
            <a:pPr>
              <a:defRPr sz="800"/>
            </a:pPr>
            <a:endParaRPr lang="en-US"/>
          </a:p>
        </c:txPr>
        <c:crossAx val="163320576"/>
        <c:crosses val="autoZero"/>
        <c:crossBetween val="between"/>
      </c:valAx>
    </c:plotArea>
    <c:legend>
      <c:legendPos val="r"/>
      <c:txPr>
        <a:bodyPr/>
        <a:lstStyle/>
        <a:p>
          <a:pPr>
            <a:defRPr sz="800"/>
          </a:pPr>
          <a:endParaRPr lang="en-US"/>
        </a:p>
      </c:txPr>
    </c:legend>
    <c:plotVisOnly val="1"/>
  </c:chart>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hospital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24.497731651967118</c:v>
                </c:pt>
                <c:pt idx="1">
                  <c:v>26.51826707561553</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15.682303891382222</c:v>
                </c:pt>
                <c:pt idx="1">
                  <c:v>16.090358911861987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19.765260671572417</c:v>
                </c:pt>
                <c:pt idx="1">
                  <c:v>21.071556252261409</c:v>
                </c:pt>
              </c:numCache>
            </c:numRef>
          </c:val>
        </c:ser>
        <c:ser>
          <c:idx val="3"/>
          <c:order val="3"/>
          <c:tx>
            <c:strRef>
              <c:f>Sheet1!$AA$383</c:f>
              <c:strCache>
                <c:ptCount val="1"/>
                <c:pt idx="0">
                  <c:v>Uttlesford</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21.085978979959599</c:v>
                </c:pt>
                <c:pt idx="1">
                  <c:v>23.315766280148981</c:v>
                </c:pt>
              </c:numCache>
            </c:numRef>
          </c:val>
        </c:ser>
        <c:marker val="1"/>
        <c:axId val="163373824"/>
        <c:axId val="163375360"/>
      </c:lineChart>
      <c:catAx>
        <c:axId val="163373824"/>
        <c:scaling>
          <c:orientation val="minMax"/>
        </c:scaling>
        <c:axPos val="b"/>
        <c:numFmt formatCode="General" sourceLinked="1"/>
        <c:tickLblPos val="nextTo"/>
        <c:crossAx val="163375360"/>
        <c:crosses val="autoZero"/>
        <c:auto val="1"/>
        <c:lblAlgn val="ctr"/>
        <c:lblOffset val="100"/>
      </c:catAx>
      <c:valAx>
        <c:axId val="16337536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373824"/>
        <c:crosses val="autoZero"/>
        <c:crossBetween val="between"/>
      </c:valAx>
    </c:plotArea>
    <c:legend>
      <c:legendPos val="r"/>
      <c:txPr>
        <a:bodyPr/>
        <a:lstStyle/>
        <a:p>
          <a:pPr>
            <a:defRPr sz="800"/>
          </a:pPr>
          <a:endParaRPr lang="en-US"/>
        </a:p>
      </c:txPr>
    </c:legend>
    <c:plotVisOnly val="1"/>
  </c:chart>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hospitals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1.2749800474639406</c:v>
                </c:pt>
                <c:pt idx="1">
                  <c:v>0.99773844345834262</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3.5623845333160231</c:v>
                </c:pt>
                <c:pt idx="1">
                  <c:v>3.4371936601339192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1.9804743562962721</c:v>
                </c:pt>
                <c:pt idx="1">
                  <c:v>1.5969291616122461</c:v>
                </c:pt>
              </c:numCache>
            </c:numRef>
          </c:val>
        </c:ser>
        <c:ser>
          <c:idx val="3"/>
          <c:order val="3"/>
          <c:tx>
            <c:strRef>
              <c:f>Sheet1!$BH$383</c:f>
              <c:strCache>
                <c:ptCount val="1"/>
                <c:pt idx="0">
                  <c:v>Uttlesford</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2.1159531403336587</c:v>
                </c:pt>
                <c:pt idx="1">
                  <c:v>1.2448535466415711</c:v>
                </c:pt>
              </c:numCache>
            </c:numRef>
          </c:val>
        </c:ser>
        <c:axId val="163427456"/>
        <c:axId val="163428992"/>
      </c:barChart>
      <c:catAx>
        <c:axId val="163427456"/>
        <c:scaling>
          <c:orientation val="minMax"/>
        </c:scaling>
        <c:axPos val="b"/>
        <c:numFmt formatCode="General" sourceLinked="1"/>
        <c:tickLblPos val="nextTo"/>
        <c:crossAx val="163428992"/>
        <c:crosses val="autoZero"/>
        <c:auto val="1"/>
        <c:lblAlgn val="ctr"/>
        <c:lblOffset val="100"/>
      </c:catAx>
      <c:valAx>
        <c:axId val="163428992"/>
        <c:scaling>
          <c:orientation val="minMax"/>
        </c:scaling>
        <c:axPos val="l"/>
        <c:majorGridlines/>
        <c:numFmt formatCode="General" sourceLinked="1"/>
        <c:tickLblPos val="nextTo"/>
        <c:txPr>
          <a:bodyPr/>
          <a:lstStyle/>
          <a:p>
            <a:pPr>
              <a:defRPr sz="800"/>
            </a:pPr>
            <a:endParaRPr lang="en-US"/>
          </a:p>
        </c:txPr>
        <c:crossAx val="163427456"/>
        <c:crosses val="autoZero"/>
        <c:crossBetween val="between"/>
      </c:valAx>
    </c:plotArea>
    <c:legend>
      <c:legendPos val="r"/>
      <c:txPr>
        <a:bodyPr/>
        <a:lstStyle/>
        <a:p>
          <a:pPr>
            <a:defRPr sz="800"/>
          </a:pPr>
          <a:endParaRPr lang="en-US"/>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Sheet1!$AM$379</c:f>
          <c:strCache>
            <c:ptCount val="1"/>
            <c:pt idx="0">
              <c:v>Travel time to nearest employment centre with 500 to 4999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Sheet1!$AM$380</c:f>
              <c:strCache>
                <c:ptCount val="1"/>
                <c:pt idx="0">
                  <c:v>Predominantly Rural average</c:v>
                </c:pt>
              </c:strCache>
            </c:strRef>
          </c:tx>
          <c:spPr>
            <a:ln w="25400">
              <a:solidFill>
                <a:schemeClr val="bg1">
                  <a:lumMod val="65000"/>
                </a:schemeClr>
              </a:solidFill>
            </a:ln>
          </c:spPr>
          <c:marker>
            <c:symbol val="none"/>
          </c:marker>
          <c:cat>
            <c:numRef>
              <c:f>Sheet1!$AN$379:$AP$379</c:f>
              <c:numCache>
                <c:formatCode>General</c:formatCode>
                <c:ptCount val="3"/>
                <c:pt idx="0">
                  <c:v>2014</c:v>
                </c:pt>
                <c:pt idx="1">
                  <c:v>2015</c:v>
                </c:pt>
                <c:pt idx="2">
                  <c:v>2016</c:v>
                </c:pt>
              </c:numCache>
            </c:numRef>
          </c:cat>
          <c:val>
            <c:numRef>
              <c:f>Sheet1!$AN$380:$AP$380</c:f>
              <c:numCache>
                <c:formatCode>General</c:formatCode>
                <c:ptCount val="3"/>
                <c:pt idx="0">
                  <c:v>18.106250069870509</c:v>
                </c:pt>
                <c:pt idx="1">
                  <c:v>18.683274512636373</c:v>
                </c:pt>
                <c:pt idx="2">
                  <c:v>19.272806004395552</c:v>
                </c:pt>
              </c:numCache>
            </c:numRef>
          </c:val>
        </c:ser>
        <c:ser>
          <c:idx val="2"/>
          <c:order val="1"/>
          <c:tx>
            <c:strRef>
              <c:f>Sheet1!$AM$381</c:f>
              <c:strCache>
                <c:ptCount val="1"/>
                <c:pt idx="0">
                  <c:v>Predominantly Urban average</c:v>
                </c:pt>
              </c:strCache>
            </c:strRef>
          </c:tx>
          <c:spPr>
            <a:ln w="25400">
              <a:solidFill>
                <a:schemeClr val="accent6">
                  <a:lumMod val="75000"/>
                </a:schemeClr>
              </a:solidFill>
              <a:prstDash val="sysDash"/>
            </a:ln>
          </c:spPr>
          <c:marker>
            <c:symbol val="none"/>
          </c:marker>
          <c:cat>
            <c:numRef>
              <c:f>Sheet1!$AN$379:$AP$379</c:f>
              <c:numCache>
                <c:formatCode>General</c:formatCode>
                <c:ptCount val="3"/>
                <c:pt idx="0">
                  <c:v>2014</c:v>
                </c:pt>
                <c:pt idx="1">
                  <c:v>2015</c:v>
                </c:pt>
                <c:pt idx="2">
                  <c:v>2016</c:v>
                </c:pt>
              </c:numCache>
            </c:numRef>
          </c:cat>
          <c:val>
            <c:numRef>
              <c:f>Sheet1!$AN$381:$AP$381</c:f>
              <c:numCache>
                <c:formatCode>General</c:formatCode>
                <c:ptCount val="3"/>
                <c:pt idx="0">
                  <c:v>11.085741193952634</c:v>
                </c:pt>
                <c:pt idx="1">
                  <c:v>11.034242077099782</c:v>
                </c:pt>
                <c:pt idx="2">
                  <c:v>11.751106239756774</c:v>
                </c:pt>
              </c:numCache>
            </c:numRef>
          </c:val>
        </c:ser>
        <c:ser>
          <c:idx val="3"/>
          <c:order val="2"/>
          <c:tx>
            <c:strRef>
              <c:f>Sheet1!$AM$382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Sheet1!$AN$379:$AP$379</c:f>
              <c:numCache>
                <c:formatCode>General</c:formatCode>
                <c:ptCount val="3"/>
                <c:pt idx="0">
                  <c:v>2014</c:v>
                </c:pt>
                <c:pt idx="1">
                  <c:v>2015</c:v>
                </c:pt>
                <c:pt idx="2">
                  <c:v>2016</c:v>
                </c:pt>
              </c:numCache>
            </c:numRef>
          </c:cat>
          <c:val>
            <c:numRef>
              <c:f>Sheet1!$AN$382:$AP$382</c:f>
              <c:numCache>
                <c:formatCode>General</c:formatCode>
                <c:ptCount val="3"/>
                <c:pt idx="0">
                  <c:v>15.045119857140829</c:v>
                </c:pt>
                <c:pt idx="1">
                  <c:v>15.28320141956152</c:v>
                </c:pt>
                <c:pt idx="2">
                  <c:v>15.928575082196298</c:v>
                </c:pt>
              </c:numCache>
            </c:numRef>
          </c:val>
        </c:ser>
        <c:ser>
          <c:idx val="4"/>
          <c:order val="3"/>
          <c:tx>
            <c:strRef>
              <c:f>Sheet1!$AM$383</c:f>
              <c:strCache>
                <c:ptCount val="1"/>
                <c:pt idx="0">
                  <c:v>Uttlesford</c:v>
                </c:pt>
              </c:strCache>
            </c:strRef>
          </c:tx>
          <c:spPr>
            <a:ln w="25400">
              <a:solidFill>
                <a:schemeClr val="tx1"/>
              </a:solidFill>
            </a:ln>
          </c:spPr>
          <c:marker>
            <c:symbol val="none"/>
          </c:marker>
          <c:cat>
            <c:numRef>
              <c:f>Sheet1!$AN$379:$AP$379</c:f>
              <c:numCache>
                <c:formatCode>General</c:formatCode>
                <c:ptCount val="3"/>
                <c:pt idx="0">
                  <c:v>2014</c:v>
                </c:pt>
                <c:pt idx="1">
                  <c:v>2015</c:v>
                </c:pt>
                <c:pt idx="2">
                  <c:v>2016</c:v>
                </c:pt>
              </c:numCache>
            </c:numRef>
          </c:cat>
          <c:val>
            <c:numRef>
              <c:f>Sheet1!$AN$383:$AP$383</c:f>
              <c:numCache>
                <c:formatCode>General</c:formatCode>
                <c:ptCount val="3"/>
                <c:pt idx="0">
                  <c:v>17.655270740069099</c:v>
                </c:pt>
                <c:pt idx="1">
                  <c:v>16.535833233667361</c:v>
                </c:pt>
                <c:pt idx="2">
                  <c:v>17.320572375472487</c:v>
                </c:pt>
              </c:numCache>
            </c:numRef>
          </c:val>
        </c:ser>
        <c:marker val="1"/>
        <c:axId val="161768192"/>
        <c:axId val="161769728"/>
      </c:lineChart>
      <c:catAx>
        <c:axId val="161768192"/>
        <c:scaling>
          <c:orientation val="minMax"/>
        </c:scaling>
        <c:axPos val="b"/>
        <c:numFmt formatCode="General" sourceLinked="1"/>
        <c:tickLblPos val="nextTo"/>
        <c:crossAx val="161769728"/>
        <c:crosses val="autoZero"/>
        <c:auto val="1"/>
        <c:lblAlgn val="ctr"/>
        <c:lblOffset val="100"/>
      </c:catAx>
      <c:valAx>
        <c:axId val="161769728"/>
        <c:scaling>
          <c:orientation val="minMax"/>
        </c:scaling>
        <c:axPos val="l"/>
        <c:majorGridlines/>
        <c:title>
          <c:tx>
            <c:strRef>
              <c:f>Sheet1!$AM$384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768192"/>
        <c:crosses val="autoZero"/>
        <c:crossBetween val="between"/>
      </c:valAx>
    </c:plotArea>
    <c:legend>
      <c:legendPos val="r"/>
      <c:txPr>
        <a:bodyPr/>
        <a:lstStyle/>
        <a:p>
          <a:pPr>
            <a:defRPr sz="800"/>
          </a:pPr>
          <a:endParaRPr lang="en-US"/>
        </a:p>
      </c:txPr>
    </c:legend>
    <c:plotVisOnly val="1"/>
  </c:chart>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Pharmacy by cycle</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Sheet1!$E$380</c:f>
              <c:strCache>
                <c:ptCount val="1"/>
                <c:pt idx="0">
                  <c:v>Predominantly Rural average</c:v>
                </c:pt>
              </c:strCache>
            </c:strRef>
          </c:tx>
          <c:spPr>
            <a:solidFill>
              <a:schemeClr val="bg1">
                <a:lumMod val="75000"/>
              </a:schemeClr>
            </a:solidFill>
            <a:ln>
              <a:noFill/>
            </a:ln>
          </c:spPr>
          <c:cat>
            <c:numRef>
              <c:f>Sheet1!$G$379</c:f>
              <c:numCache>
                <c:formatCode>General</c:formatCode>
                <c:ptCount val="1"/>
                <c:pt idx="0">
                  <c:v>2015</c:v>
                </c:pt>
              </c:numCache>
            </c:numRef>
          </c:cat>
          <c:val>
            <c:numRef>
              <c:f>Sheet1!$G$380</c:f>
              <c:numCache>
                <c:formatCode>General</c:formatCode>
                <c:ptCount val="1"/>
                <c:pt idx="0">
                  <c:v>14.650989897177151</c:v>
                </c:pt>
              </c:numCache>
            </c:numRef>
          </c:val>
        </c:ser>
        <c:ser>
          <c:idx val="1"/>
          <c:order val="1"/>
          <c:tx>
            <c:strRef>
              <c:f>Sheet1!$E$381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Sheet1!$G$379</c:f>
              <c:numCache>
                <c:formatCode>General</c:formatCode>
                <c:ptCount val="1"/>
                <c:pt idx="0">
                  <c:v>2015</c:v>
                </c:pt>
              </c:numCache>
            </c:numRef>
          </c:cat>
          <c:val>
            <c:numRef>
              <c:f>Sheet1!$G$381</c:f>
              <c:numCache>
                <c:formatCode>General</c:formatCode>
                <c:ptCount val="1"/>
                <c:pt idx="0">
                  <c:v>7.7081046023850375</c:v>
                </c:pt>
              </c:numCache>
            </c:numRef>
          </c:val>
        </c:ser>
        <c:ser>
          <c:idx val="2"/>
          <c:order val="2"/>
          <c:tx>
            <c:strRef>
              <c:f>Sheet1!$E$382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Sheet1!$G$379</c:f>
              <c:numCache>
                <c:formatCode>General</c:formatCode>
                <c:ptCount val="1"/>
                <c:pt idx="0">
                  <c:v>2015</c:v>
                </c:pt>
              </c:numCache>
            </c:numRef>
          </c:cat>
          <c:val>
            <c:numRef>
              <c:f>Sheet1!$G$382</c:f>
              <c:numCache>
                <c:formatCode>General</c:formatCode>
                <c:ptCount val="1"/>
                <c:pt idx="0">
                  <c:v>11.432223056734605</c:v>
                </c:pt>
              </c:numCache>
            </c:numRef>
          </c:val>
        </c:ser>
        <c:ser>
          <c:idx val="3"/>
          <c:order val="3"/>
          <c:tx>
            <c:strRef>
              <c:f>Sheet1!$E$383</c:f>
              <c:strCache>
                <c:ptCount val="1"/>
                <c:pt idx="0">
                  <c:v>Uttlesford</c:v>
                </c:pt>
              </c:strCache>
            </c:strRef>
          </c:tx>
          <c:spPr>
            <a:solidFill>
              <a:schemeClr val="tx1"/>
            </a:solidFill>
            <a:ln>
              <a:noFill/>
            </a:ln>
          </c:spPr>
          <c:cat>
            <c:numRef>
              <c:f>Sheet1!$G$379</c:f>
              <c:numCache>
                <c:formatCode>General</c:formatCode>
                <c:ptCount val="1"/>
                <c:pt idx="0">
                  <c:v>2015</c:v>
                </c:pt>
              </c:numCache>
            </c:numRef>
          </c:cat>
          <c:val>
            <c:numRef>
              <c:f>Sheet1!$G$383</c:f>
              <c:numCache>
                <c:formatCode>General</c:formatCode>
                <c:ptCount val="1"/>
                <c:pt idx="0">
                  <c:v>17.159908346030914</c:v>
                </c:pt>
              </c:numCache>
            </c:numRef>
          </c:val>
        </c:ser>
        <c:axId val="163464320"/>
        <c:axId val="163465856"/>
      </c:barChart>
      <c:catAx>
        <c:axId val="163464320"/>
        <c:scaling>
          <c:orientation val="minMax"/>
        </c:scaling>
        <c:axPos val="b"/>
        <c:numFmt formatCode="General" sourceLinked="1"/>
        <c:tickLblPos val="nextTo"/>
        <c:crossAx val="163465856"/>
        <c:crosses val="autoZero"/>
        <c:auto val="1"/>
        <c:lblAlgn val="ctr"/>
        <c:lblOffset val="100"/>
      </c:catAx>
      <c:valAx>
        <c:axId val="16346585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464320"/>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Pharmacies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a:noFill/>
            </a:ln>
          </c:spPr>
          <c:cat>
            <c:numRef>
              <c:f>Sheet1!$AN$379</c:f>
              <c:numCache>
                <c:formatCode>General</c:formatCode>
                <c:ptCount val="1"/>
                <c:pt idx="0">
                  <c:v>2015</c:v>
                </c:pt>
              </c:numCache>
            </c:numRef>
          </c:cat>
          <c:val>
            <c:numRef>
              <c:f>Sheet1!$AN$380</c:f>
              <c:numCache>
                <c:formatCode>General</c:formatCode>
                <c:ptCount val="1"/>
                <c:pt idx="0">
                  <c:v>4.7048595337079027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Sheet1!$AN$379</c:f>
              <c:numCache>
                <c:formatCode>General</c:formatCode>
                <c:ptCount val="1"/>
                <c:pt idx="0">
                  <c:v>2015</c:v>
                </c:pt>
              </c:numCache>
            </c:numRef>
          </c:cat>
          <c:val>
            <c:numRef>
              <c:f>Sheet1!$AN$381</c:f>
              <c:numCache>
                <c:formatCode>General</c:formatCode>
                <c:ptCount val="1"/>
                <c:pt idx="0">
                  <c:v>9.7916827461591112</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Sheet1!$AN$379</c:f>
              <c:numCache>
                <c:formatCode>General</c:formatCode>
                <c:ptCount val="1"/>
                <c:pt idx="0">
                  <c:v>2015</c:v>
                </c:pt>
              </c:numCache>
            </c:numRef>
          </c:cat>
          <c:val>
            <c:numRef>
              <c:f>Sheet1!$AN$382</c:f>
              <c:numCache>
                <c:formatCode>General</c:formatCode>
                <c:ptCount val="1"/>
                <c:pt idx="0">
                  <c:v>7.2622206665598608</c:v>
                </c:pt>
              </c:numCache>
            </c:numRef>
          </c:val>
        </c:ser>
        <c:ser>
          <c:idx val="3"/>
          <c:order val="3"/>
          <c:tx>
            <c:strRef>
              <c:f>Sheet1!$AL$383</c:f>
              <c:strCache>
                <c:ptCount val="1"/>
                <c:pt idx="0">
                  <c:v>Uttlesford</c:v>
                </c:pt>
              </c:strCache>
            </c:strRef>
          </c:tx>
          <c:spPr>
            <a:solidFill>
              <a:schemeClr val="tx1"/>
            </a:solidFill>
            <a:ln>
              <a:noFill/>
            </a:ln>
          </c:spPr>
          <c:cat>
            <c:numRef>
              <c:f>Sheet1!$AN$379</c:f>
              <c:numCache>
                <c:formatCode>General</c:formatCode>
                <c:ptCount val="1"/>
                <c:pt idx="0">
                  <c:v>2015</c:v>
                </c:pt>
              </c:numCache>
            </c:numRef>
          </c:cat>
          <c:val>
            <c:numRef>
              <c:f>Sheet1!$AN$383</c:f>
              <c:numCache>
                <c:formatCode>General</c:formatCode>
                <c:ptCount val="1"/>
                <c:pt idx="0">
                  <c:v>2.5711092812610299</c:v>
                </c:pt>
              </c:numCache>
            </c:numRef>
          </c:val>
        </c:ser>
        <c:axId val="163505280"/>
        <c:axId val="163506816"/>
      </c:barChart>
      <c:catAx>
        <c:axId val="163505280"/>
        <c:scaling>
          <c:orientation val="minMax"/>
        </c:scaling>
        <c:axPos val="b"/>
        <c:numFmt formatCode="General" sourceLinked="1"/>
        <c:tickLblPos val="nextTo"/>
        <c:crossAx val="163506816"/>
        <c:crosses val="autoZero"/>
        <c:auto val="1"/>
        <c:lblAlgn val="ctr"/>
        <c:lblOffset val="100"/>
      </c:catAx>
      <c:valAx>
        <c:axId val="163506816"/>
        <c:scaling>
          <c:orientation val="minMax"/>
        </c:scaling>
        <c:axPos val="l"/>
        <c:majorGridlines/>
        <c:numFmt formatCode="General" sourceLinked="1"/>
        <c:tickLblPos val="nextTo"/>
        <c:txPr>
          <a:bodyPr/>
          <a:lstStyle/>
          <a:p>
            <a:pPr>
              <a:defRPr sz="800"/>
            </a:pPr>
            <a:endParaRPr lang="en-US"/>
          </a:p>
        </c:txPr>
        <c:crossAx val="163505280"/>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Pharmacy by car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Sheet1!$P$380</c:f>
              <c:strCache>
                <c:ptCount val="1"/>
                <c:pt idx="0">
                  <c:v>Predominantly Rural average</c:v>
                </c:pt>
              </c:strCache>
            </c:strRef>
          </c:tx>
          <c:spPr>
            <a:solidFill>
              <a:schemeClr val="bg1">
                <a:lumMod val="75000"/>
              </a:schemeClr>
            </a:solidFill>
            <a:ln>
              <a:noFill/>
            </a:ln>
          </c:spPr>
          <c:cat>
            <c:numRef>
              <c:f>Sheet1!$R$379</c:f>
              <c:numCache>
                <c:formatCode>General</c:formatCode>
                <c:ptCount val="1"/>
                <c:pt idx="0">
                  <c:v>2015</c:v>
                </c:pt>
              </c:numCache>
            </c:numRef>
          </c:cat>
          <c:val>
            <c:numRef>
              <c:f>Sheet1!$R$380</c:f>
              <c:numCache>
                <c:formatCode>General</c:formatCode>
                <c:ptCount val="1"/>
                <c:pt idx="0">
                  <c:v>9.1262413690006259</c:v>
                </c:pt>
              </c:numCache>
            </c:numRef>
          </c:val>
        </c:ser>
        <c:ser>
          <c:idx val="1"/>
          <c:order val="1"/>
          <c:tx>
            <c:strRef>
              <c:f>Sheet1!$P$381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Sheet1!$R$379</c:f>
              <c:numCache>
                <c:formatCode>General</c:formatCode>
                <c:ptCount val="1"/>
                <c:pt idx="0">
                  <c:v>2015</c:v>
                </c:pt>
              </c:numCache>
            </c:numRef>
          </c:cat>
          <c:val>
            <c:numRef>
              <c:f>Sheet1!$R$381</c:f>
              <c:numCache>
                <c:formatCode>General</c:formatCode>
                <c:ptCount val="1"/>
                <c:pt idx="0">
                  <c:v>6.5634435274319944</c:v>
                </c:pt>
              </c:numCache>
            </c:numRef>
          </c:val>
        </c:ser>
        <c:ser>
          <c:idx val="2"/>
          <c:order val="2"/>
          <c:tx>
            <c:strRef>
              <c:f>Sheet1!$P$382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Sheet1!$R$379</c:f>
              <c:numCache>
                <c:formatCode>General</c:formatCode>
                <c:ptCount val="1"/>
                <c:pt idx="0">
                  <c:v>2015</c:v>
                </c:pt>
              </c:numCache>
            </c:numRef>
          </c:cat>
          <c:val>
            <c:numRef>
              <c:f>Sheet1!$R$382</c:f>
              <c:numCache>
                <c:formatCode>General</c:formatCode>
                <c:ptCount val="1"/>
                <c:pt idx="0">
                  <c:v>8.0281192668926487</c:v>
                </c:pt>
              </c:numCache>
            </c:numRef>
          </c:val>
        </c:ser>
        <c:ser>
          <c:idx val="3"/>
          <c:order val="3"/>
          <c:tx>
            <c:strRef>
              <c:f>Sheet1!$P$383</c:f>
              <c:strCache>
                <c:ptCount val="1"/>
                <c:pt idx="0">
                  <c:v>Uttlesford</c:v>
                </c:pt>
              </c:strCache>
            </c:strRef>
          </c:tx>
          <c:spPr>
            <a:solidFill>
              <a:schemeClr val="tx1"/>
            </a:solidFill>
            <a:ln>
              <a:noFill/>
            </a:ln>
          </c:spPr>
          <c:cat>
            <c:numRef>
              <c:f>Sheet1!$R$379</c:f>
              <c:numCache>
                <c:formatCode>General</c:formatCode>
                <c:ptCount val="1"/>
                <c:pt idx="0">
                  <c:v>2015</c:v>
                </c:pt>
              </c:numCache>
            </c:numRef>
          </c:cat>
          <c:val>
            <c:numRef>
              <c:f>Sheet1!$R$383</c:f>
              <c:numCache>
                <c:formatCode>General</c:formatCode>
                <c:ptCount val="1"/>
                <c:pt idx="0">
                  <c:v>9.9410767709533534</c:v>
                </c:pt>
              </c:numCache>
            </c:numRef>
          </c:val>
        </c:ser>
        <c:axId val="163549952"/>
        <c:axId val="163551488"/>
      </c:barChart>
      <c:catAx>
        <c:axId val="163549952"/>
        <c:scaling>
          <c:orientation val="minMax"/>
        </c:scaling>
        <c:axPos val="b"/>
        <c:numFmt formatCode="General" sourceLinked="1"/>
        <c:tickLblPos val="nextTo"/>
        <c:crossAx val="163551488"/>
        <c:crosses val="autoZero"/>
        <c:auto val="1"/>
        <c:lblAlgn val="ctr"/>
        <c:lblOffset val="100"/>
      </c:catAx>
      <c:valAx>
        <c:axId val="16355148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549952"/>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Pharmacies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a:noFill/>
            </a:ln>
          </c:spPr>
          <c:cat>
            <c:numRef>
              <c:f>Sheet1!$AY$379</c:f>
              <c:numCache>
                <c:formatCode>General</c:formatCode>
                <c:ptCount val="1"/>
                <c:pt idx="0">
                  <c:v>2015</c:v>
                </c:pt>
              </c:numCache>
            </c:numRef>
          </c:cat>
          <c:val>
            <c:numRef>
              <c:f>Sheet1!$AY$380</c:f>
              <c:numCache>
                <c:formatCode>General</c:formatCode>
                <c:ptCount val="1"/>
                <c:pt idx="0">
                  <c:v>9.5058546169903266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Sheet1!$AY$379</c:f>
              <c:numCache>
                <c:formatCode>General</c:formatCode>
                <c:ptCount val="1"/>
                <c:pt idx="0">
                  <c:v>2015</c:v>
                </c:pt>
              </c:numCache>
            </c:numRef>
          </c:cat>
          <c:val>
            <c:numRef>
              <c:f>Sheet1!$AY$381</c:f>
              <c:numCache>
                <c:formatCode>General</c:formatCode>
                <c:ptCount val="1"/>
                <c:pt idx="0">
                  <c:v>9.996338468726881</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Sheet1!$AY$379</c:f>
              <c:numCache>
                <c:formatCode>General</c:formatCode>
                <c:ptCount val="1"/>
                <c:pt idx="0">
                  <c:v>2015</c:v>
                </c:pt>
              </c:numCache>
            </c:numRef>
          </c:cat>
          <c:val>
            <c:numRef>
              <c:f>Sheet1!$AY$382</c:f>
              <c:numCache>
                <c:formatCode>General</c:formatCode>
                <c:ptCount val="1"/>
                <c:pt idx="0">
                  <c:v>9.7891014457965912</c:v>
                </c:pt>
              </c:numCache>
            </c:numRef>
          </c:val>
        </c:ser>
        <c:ser>
          <c:idx val="3"/>
          <c:order val="3"/>
          <c:tx>
            <c:strRef>
              <c:f>Sheet1!$AW$383</c:f>
              <c:strCache>
                <c:ptCount val="1"/>
                <c:pt idx="0">
                  <c:v>Uttlesford</c:v>
                </c:pt>
              </c:strCache>
            </c:strRef>
          </c:tx>
          <c:spPr>
            <a:solidFill>
              <a:schemeClr val="tx1"/>
            </a:solidFill>
            <a:ln>
              <a:noFill/>
            </a:ln>
          </c:spPr>
          <c:cat>
            <c:numRef>
              <c:f>Sheet1!$AY$379</c:f>
              <c:numCache>
                <c:formatCode>General</c:formatCode>
                <c:ptCount val="1"/>
                <c:pt idx="0">
                  <c:v>2015</c:v>
                </c:pt>
              </c:numCache>
            </c:numRef>
          </c:cat>
          <c:val>
            <c:numRef>
              <c:f>Sheet1!$AY$383</c:f>
              <c:numCache>
                <c:formatCode>General</c:formatCode>
                <c:ptCount val="1"/>
                <c:pt idx="0">
                  <c:v>9.9958828373132746</c:v>
                </c:pt>
              </c:numCache>
            </c:numRef>
          </c:val>
        </c:ser>
        <c:axId val="163603584"/>
        <c:axId val="163605120"/>
      </c:barChart>
      <c:catAx>
        <c:axId val="163603584"/>
        <c:scaling>
          <c:orientation val="minMax"/>
        </c:scaling>
        <c:axPos val="b"/>
        <c:numFmt formatCode="General" sourceLinked="1"/>
        <c:tickLblPos val="nextTo"/>
        <c:crossAx val="163605120"/>
        <c:crosses val="autoZero"/>
        <c:auto val="1"/>
        <c:lblAlgn val="ctr"/>
        <c:lblOffset val="100"/>
      </c:catAx>
      <c:valAx>
        <c:axId val="163605120"/>
        <c:scaling>
          <c:orientation val="minMax"/>
        </c:scaling>
        <c:axPos val="l"/>
        <c:majorGridlines/>
        <c:numFmt formatCode="General" sourceLinked="1"/>
        <c:tickLblPos val="nextTo"/>
        <c:txPr>
          <a:bodyPr/>
          <a:lstStyle/>
          <a:p>
            <a:pPr>
              <a:defRPr sz="800"/>
            </a:pPr>
            <a:endParaRPr lang="en-US"/>
          </a:p>
        </c:txPr>
        <c:crossAx val="163603584"/>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food store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13.685779199251701</c:v>
                </c:pt>
                <c:pt idx="1">
                  <c:v>14.199831293440386</c:v>
                </c:pt>
                <c:pt idx="2">
                  <c:v>14.369985291499788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7.6033907037345729</c:v>
                </c:pt>
                <c:pt idx="1">
                  <c:v>7.6065014355120493</c:v>
                </c:pt>
                <c:pt idx="2">
                  <c:v>7.9513310678684652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10.934618153152815</c:v>
                </c:pt>
                <c:pt idx="1">
                  <c:v>11.184460822630975</c:v>
                </c:pt>
                <c:pt idx="2">
                  <c:v>11.455018835859098</c:v>
                </c:pt>
              </c:numCache>
            </c:numRef>
          </c:val>
        </c:ser>
        <c:ser>
          <c:idx val="3"/>
          <c:order val="3"/>
          <c:tx>
            <c:strRef>
              <c:f>Sheet1!$E$383</c:f>
              <c:strCache>
                <c:ptCount val="1"/>
                <c:pt idx="0">
                  <c:v>Uttlesford</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13.505354082079904</c:v>
                </c:pt>
                <c:pt idx="1">
                  <c:v>13.098868871310092</c:v>
                </c:pt>
                <c:pt idx="2">
                  <c:v>14.098620624267799</c:v>
                </c:pt>
              </c:numCache>
            </c:numRef>
          </c:val>
        </c:ser>
        <c:marker val="1"/>
        <c:axId val="163624064"/>
        <c:axId val="163625600"/>
      </c:lineChart>
      <c:catAx>
        <c:axId val="163624064"/>
        <c:scaling>
          <c:orientation val="minMax"/>
        </c:scaling>
        <c:axPos val="b"/>
        <c:numFmt formatCode="General" sourceLinked="1"/>
        <c:tickLblPos val="nextTo"/>
        <c:crossAx val="163625600"/>
        <c:crosses val="autoZero"/>
        <c:auto val="1"/>
        <c:lblAlgn val="ctr"/>
        <c:lblOffset val="100"/>
      </c:catAx>
      <c:valAx>
        <c:axId val="16362560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crossAx val="163624064"/>
        <c:crosses val="autoZero"/>
        <c:crossBetween val="between"/>
      </c:valAx>
    </c:plotArea>
    <c:legend>
      <c:legendPos val="r"/>
      <c:txPr>
        <a:bodyPr/>
        <a:lstStyle/>
        <a:p>
          <a:pPr>
            <a:defRPr sz="800"/>
          </a:pPr>
          <a:endParaRPr lang="en-US"/>
        </a:p>
      </c:txPr>
    </c:legend>
    <c:plotVisOnly val="1"/>
  </c:chart>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food stores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7.1981251542329892</c:v>
                </c:pt>
                <c:pt idx="1">
                  <c:v>7.2860736753870103</c:v>
                </c:pt>
                <c:pt idx="2">
                  <c:v>7.3894726111111124</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9.8150365431927078</c:v>
                </c:pt>
                <c:pt idx="1">
                  <c:v>9.8492121994220607</c:v>
                </c:pt>
                <c:pt idx="2">
                  <c:v>9.8659293591160271</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8.4767467165040653</c:v>
                </c:pt>
                <c:pt idx="1">
                  <c:v>8.5508568081548493</c:v>
                </c:pt>
                <c:pt idx="2">
                  <c:v>8.614603641791037</c:v>
                </c:pt>
              </c:numCache>
            </c:numRef>
          </c:val>
        </c:ser>
        <c:ser>
          <c:idx val="3"/>
          <c:order val="3"/>
          <c:tx>
            <c:strRef>
              <c:f>Sheet1!$AL$383</c:f>
              <c:strCache>
                <c:ptCount val="1"/>
                <c:pt idx="0">
                  <c:v>Uttlesford</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5.6021221786064759</c:v>
                </c:pt>
                <c:pt idx="1">
                  <c:v>6.17392071520998</c:v>
                </c:pt>
                <c:pt idx="2">
                  <c:v>5.3763769999999997</c:v>
                </c:pt>
              </c:numCache>
            </c:numRef>
          </c:val>
        </c:ser>
        <c:axId val="163747328"/>
        <c:axId val="163748864"/>
      </c:barChart>
      <c:catAx>
        <c:axId val="163747328"/>
        <c:scaling>
          <c:orientation val="minMax"/>
        </c:scaling>
        <c:axPos val="b"/>
        <c:numFmt formatCode="General" sourceLinked="1"/>
        <c:tickLblPos val="nextTo"/>
        <c:crossAx val="163748864"/>
        <c:crosses val="autoZero"/>
        <c:auto val="1"/>
        <c:lblAlgn val="ctr"/>
        <c:lblOffset val="100"/>
      </c:catAx>
      <c:valAx>
        <c:axId val="163748864"/>
        <c:scaling>
          <c:orientation val="minMax"/>
        </c:scaling>
        <c:axPos val="l"/>
        <c:majorGridlines/>
        <c:numFmt formatCode="General" sourceLinked="1"/>
        <c:tickLblPos val="nextTo"/>
        <c:crossAx val="163747328"/>
        <c:crosses val="autoZero"/>
        <c:crossBetween val="between"/>
      </c:valAx>
    </c:plotArea>
    <c:legend>
      <c:legendPos val="r"/>
      <c:txPr>
        <a:bodyPr/>
        <a:lstStyle/>
        <a:p>
          <a:pPr>
            <a:defRPr sz="800"/>
          </a:pPr>
          <a:endParaRPr lang="en-US"/>
        </a:p>
      </c:txPr>
    </c:legend>
    <c:plotVisOnly val="1"/>
  </c:chart>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food store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12.082258771210768</c:v>
                </c:pt>
                <c:pt idx="1">
                  <c:v>12.039015122196695</c:v>
                </c:pt>
                <c:pt idx="2">
                  <c:v>11.973294052476689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7.9627321924350394</c:v>
                </c:pt>
                <c:pt idx="1">
                  <c:v>7.9676448477783763</c:v>
                </c:pt>
                <c:pt idx="2">
                  <c:v>7.9433810024788585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10.124616102404472</c:v>
                </c:pt>
                <c:pt idx="1">
                  <c:v>10.111635068384286</c:v>
                </c:pt>
                <c:pt idx="2">
                  <c:v>10.062523394479609</c:v>
                </c:pt>
              </c:numCache>
            </c:numRef>
          </c:val>
        </c:ser>
        <c:ser>
          <c:idx val="3"/>
          <c:order val="3"/>
          <c:tx>
            <c:strRef>
              <c:f>Sheet1!$P$383</c:f>
              <c:strCache>
                <c:ptCount val="1"/>
                <c:pt idx="0">
                  <c:v>Uttlesford</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12.65341122117</c:v>
                </c:pt>
                <c:pt idx="1">
                  <c:v>13.029100553343007</c:v>
                </c:pt>
                <c:pt idx="2">
                  <c:v>12.9933409615622</c:v>
                </c:pt>
              </c:numCache>
            </c:numRef>
          </c:val>
        </c:ser>
        <c:marker val="1"/>
        <c:axId val="163796480"/>
        <c:axId val="163798016"/>
      </c:lineChart>
      <c:catAx>
        <c:axId val="163796480"/>
        <c:scaling>
          <c:orientation val="minMax"/>
        </c:scaling>
        <c:axPos val="b"/>
        <c:numFmt formatCode="General" sourceLinked="1"/>
        <c:tickLblPos val="nextTo"/>
        <c:crossAx val="163798016"/>
        <c:crosses val="autoZero"/>
        <c:auto val="1"/>
        <c:lblAlgn val="ctr"/>
        <c:lblOffset val="100"/>
      </c:catAx>
      <c:valAx>
        <c:axId val="16379801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crossAx val="163796480"/>
        <c:crosses val="autoZero"/>
        <c:crossBetween val="between"/>
      </c:valAx>
    </c:plotArea>
    <c:legend>
      <c:legendPos val="r"/>
      <c:txPr>
        <a:bodyPr/>
        <a:lstStyle/>
        <a:p>
          <a:pPr>
            <a:defRPr sz="800"/>
          </a:pPr>
          <a:endParaRPr lang="en-US"/>
        </a:p>
      </c:txPr>
    </c:legend>
    <c:plotVisOnly val="1"/>
  </c:chart>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food stores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6.6204478019061481</c:v>
                </c:pt>
                <c:pt idx="1">
                  <c:v>7.0321962275513465</c:v>
                </c:pt>
                <c:pt idx="2">
                  <c:v>7.1508395111111085</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9.4007660714401293</c:v>
                </c:pt>
                <c:pt idx="1">
                  <c:v>9.9257411516450524</c:v>
                </c:pt>
                <c:pt idx="2">
                  <c:v>9.9322411215469604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8.0768900834625637</c:v>
                </c:pt>
                <c:pt idx="1">
                  <c:v>8.5212810122177132</c:v>
                </c:pt>
                <c:pt idx="2">
                  <c:v>8.5904116616915385</c:v>
                </c:pt>
              </c:numCache>
            </c:numRef>
          </c:val>
        </c:ser>
        <c:ser>
          <c:idx val="3"/>
          <c:order val="3"/>
          <c:tx>
            <c:strRef>
              <c:f>Sheet1!$AW$383</c:f>
              <c:strCache>
                <c:ptCount val="1"/>
                <c:pt idx="0">
                  <c:v>Uttlesford</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4.8120093228655465</c:v>
                </c:pt>
                <c:pt idx="1">
                  <c:v>5.3809551817433237</c:v>
                </c:pt>
                <c:pt idx="2">
                  <c:v>4.7649659999999958</c:v>
                </c:pt>
              </c:numCache>
            </c:numRef>
          </c:val>
        </c:ser>
        <c:axId val="163841920"/>
        <c:axId val="163843456"/>
      </c:barChart>
      <c:catAx>
        <c:axId val="163841920"/>
        <c:scaling>
          <c:orientation val="minMax"/>
        </c:scaling>
        <c:axPos val="b"/>
        <c:numFmt formatCode="General" sourceLinked="1"/>
        <c:tickLblPos val="nextTo"/>
        <c:crossAx val="163843456"/>
        <c:crosses val="autoZero"/>
        <c:auto val="1"/>
        <c:lblAlgn val="ctr"/>
        <c:lblOffset val="100"/>
      </c:catAx>
      <c:valAx>
        <c:axId val="163843456"/>
        <c:scaling>
          <c:orientation val="minMax"/>
        </c:scaling>
        <c:axPos val="l"/>
        <c:majorGridlines/>
        <c:numFmt formatCode="General" sourceLinked="1"/>
        <c:tickLblPos val="nextTo"/>
        <c:crossAx val="163841920"/>
        <c:crosses val="autoZero"/>
        <c:crossBetween val="between"/>
      </c:valAx>
    </c:plotArea>
    <c:legend>
      <c:legendPos val="r"/>
      <c:txPr>
        <a:bodyPr/>
        <a:lstStyle/>
        <a:p>
          <a:pPr>
            <a:defRPr sz="800"/>
          </a:pPr>
          <a:endParaRPr lang="en-US"/>
        </a:p>
      </c:txPr>
    </c:legend>
    <c:plotVisOnly val="1"/>
  </c:chart>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food store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8.2855268386585923</c:v>
                </c:pt>
                <c:pt idx="1">
                  <c:v>8.2276490159920215</c:v>
                </c:pt>
                <c:pt idx="2">
                  <c:v>8.2703537033396159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7.0936801782653944</c:v>
                </c:pt>
                <c:pt idx="1">
                  <c:v>6.9665319079664298</c:v>
                </c:pt>
                <c:pt idx="2">
                  <c:v>7.0941014650009402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7.7206407022196712</c:v>
                </c:pt>
                <c:pt idx="1">
                  <c:v>7.6480278859442592</c:v>
                </c:pt>
                <c:pt idx="2">
                  <c:v>7.7071637277092497</c:v>
                </c:pt>
              </c:numCache>
            </c:numRef>
          </c:val>
        </c:ser>
        <c:ser>
          <c:idx val="3"/>
          <c:order val="3"/>
          <c:tx>
            <c:strRef>
              <c:f>Sheet1!$AA$383</c:f>
              <c:strCache>
                <c:ptCount val="1"/>
                <c:pt idx="0">
                  <c:v>Uttlesford</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8.3806839374478592</c:v>
                </c:pt>
                <c:pt idx="1">
                  <c:v>8.3720548878628769</c:v>
                </c:pt>
                <c:pt idx="2">
                  <c:v>8.5366074592009973</c:v>
                </c:pt>
              </c:numCache>
            </c:numRef>
          </c:val>
        </c:ser>
        <c:marker val="1"/>
        <c:axId val="163870592"/>
        <c:axId val="163872128"/>
      </c:lineChart>
      <c:catAx>
        <c:axId val="163870592"/>
        <c:scaling>
          <c:orientation val="minMax"/>
        </c:scaling>
        <c:axPos val="b"/>
        <c:numFmt formatCode="General" sourceLinked="1"/>
        <c:tickLblPos val="nextTo"/>
        <c:crossAx val="163872128"/>
        <c:crosses val="autoZero"/>
        <c:auto val="1"/>
        <c:lblAlgn val="ctr"/>
        <c:lblOffset val="100"/>
      </c:catAx>
      <c:valAx>
        <c:axId val="16387212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crossAx val="163870592"/>
        <c:crosses val="autoZero"/>
        <c:crossBetween val="between"/>
      </c:valAx>
    </c:plotArea>
    <c:legend>
      <c:legendPos val="r"/>
      <c:txPr>
        <a:bodyPr/>
        <a:lstStyle/>
        <a:p>
          <a:pPr>
            <a:defRPr sz="800"/>
          </a:pPr>
          <a:endParaRPr lang="en-US"/>
        </a:p>
      </c:txPr>
    </c:legend>
    <c:plotVisOnly val="1"/>
  </c:chart>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food stores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9.4931799997523942</c:v>
                </c:pt>
                <c:pt idx="1">
                  <c:v>9.9388782365024309</c:v>
                </c:pt>
                <c:pt idx="2">
                  <c:v>9.9419820444444493</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9.4669547133376373</c:v>
                </c:pt>
                <c:pt idx="1">
                  <c:v>9.9956035262133263</c:v>
                </c:pt>
                <c:pt idx="2">
                  <c:v>9.9991019392265201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9.5056143396866748</c:v>
                </c:pt>
                <c:pt idx="1">
                  <c:v>9.9711803276010702</c:v>
                </c:pt>
                <c:pt idx="2">
                  <c:v>9.9752238606965129</c:v>
                </c:pt>
              </c:numCache>
            </c:numRef>
          </c:val>
        </c:ser>
        <c:ser>
          <c:idx val="3"/>
          <c:order val="3"/>
          <c:tx>
            <c:strRef>
              <c:f>Sheet1!$BH$383</c:f>
              <c:strCache>
                <c:ptCount val="1"/>
                <c:pt idx="0">
                  <c:v>Uttlesford</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9.6402416584887103</c:v>
                </c:pt>
                <c:pt idx="1">
                  <c:v>10</c:v>
                </c:pt>
                <c:pt idx="2">
                  <c:v>10</c:v>
                </c:pt>
              </c:numCache>
            </c:numRef>
          </c:val>
        </c:ser>
        <c:axId val="163993856"/>
        <c:axId val="164007936"/>
      </c:barChart>
      <c:catAx>
        <c:axId val="163993856"/>
        <c:scaling>
          <c:orientation val="minMax"/>
        </c:scaling>
        <c:axPos val="b"/>
        <c:numFmt formatCode="General" sourceLinked="1"/>
        <c:tickLblPos val="nextTo"/>
        <c:crossAx val="164007936"/>
        <c:crosses val="autoZero"/>
        <c:auto val="1"/>
        <c:lblAlgn val="ctr"/>
        <c:lblOffset val="100"/>
      </c:catAx>
      <c:valAx>
        <c:axId val="164007936"/>
        <c:scaling>
          <c:orientation val="minMax"/>
        </c:scaling>
        <c:axPos val="l"/>
        <c:majorGridlines/>
        <c:numFmt formatCode="General" sourceLinked="1"/>
        <c:tickLblPos val="nextTo"/>
        <c:crossAx val="163993856"/>
        <c:crosses val="autoZero"/>
        <c:crossBetween val="between"/>
      </c:valAx>
    </c:plotArea>
    <c:legend>
      <c:legendPos val="r"/>
      <c:txPr>
        <a:bodyPr/>
        <a:lstStyle/>
        <a:p>
          <a:pPr>
            <a:defRPr sz="800"/>
          </a:pPr>
          <a:endParaRPr lang="en-US"/>
        </a:p>
      </c:txP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Sheet1!$AX$379</c:f>
          <c:strCache>
            <c:ptCount val="1"/>
            <c:pt idx="0">
              <c:v>Travel time to nearest employment centre with 500 to 4999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Sheet1!$AX$380</c:f>
              <c:strCache>
                <c:ptCount val="1"/>
                <c:pt idx="0">
                  <c:v>Predominantly Rural average</c:v>
                </c:pt>
              </c:strCache>
            </c:strRef>
          </c:tx>
          <c:spPr>
            <a:ln w="25400">
              <a:solidFill>
                <a:schemeClr val="bg1">
                  <a:lumMod val="65000"/>
                </a:schemeClr>
              </a:solidFill>
            </a:ln>
          </c:spPr>
          <c:marker>
            <c:symbol val="none"/>
          </c:marker>
          <c:cat>
            <c:numRef>
              <c:f>Sheet1!$AY$379:$BA$379</c:f>
              <c:numCache>
                <c:formatCode>General</c:formatCode>
                <c:ptCount val="3"/>
                <c:pt idx="0">
                  <c:v>2014</c:v>
                </c:pt>
                <c:pt idx="1">
                  <c:v>2015</c:v>
                </c:pt>
                <c:pt idx="2">
                  <c:v>2016</c:v>
                </c:pt>
              </c:numCache>
            </c:numRef>
          </c:cat>
          <c:val>
            <c:numRef>
              <c:f>Sheet1!$AY$380:$BA$380</c:f>
              <c:numCache>
                <c:formatCode>General</c:formatCode>
                <c:ptCount val="3"/>
                <c:pt idx="0">
                  <c:v>15.059595452355589</c:v>
                </c:pt>
                <c:pt idx="1">
                  <c:v>14.973611905576357</c:v>
                </c:pt>
                <c:pt idx="2">
                  <c:v>15.165945298149989</c:v>
                </c:pt>
              </c:numCache>
            </c:numRef>
          </c:val>
        </c:ser>
        <c:ser>
          <c:idx val="2"/>
          <c:order val="1"/>
          <c:tx>
            <c:strRef>
              <c:f>Sheet1!$AX$381</c:f>
              <c:strCache>
                <c:ptCount val="1"/>
                <c:pt idx="0">
                  <c:v>Predominantly Urban average</c:v>
                </c:pt>
              </c:strCache>
            </c:strRef>
          </c:tx>
          <c:spPr>
            <a:ln w="25400">
              <a:solidFill>
                <a:schemeClr val="accent6">
                  <a:lumMod val="75000"/>
                </a:schemeClr>
              </a:solidFill>
              <a:prstDash val="sysDash"/>
            </a:ln>
          </c:spPr>
          <c:marker>
            <c:symbol val="none"/>
          </c:marker>
          <c:cat>
            <c:numRef>
              <c:f>Sheet1!$AY$379:$BA$379</c:f>
              <c:numCache>
                <c:formatCode>General</c:formatCode>
                <c:ptCount val="3"/>
                <c:pt idx="0">
                  <c:v>2014</c:v>
                </c:pt>
                <c:pt idx="1">
                  <c:v>2015</c:v>
                </c:pt>
                <c:pt idx="2">
                  <c:v>2016</c:v>
                </c:pt>
              </c:numCache>
            </c:numRef>
          </c:cat>
          <c:val>
            <c:numRef>
              <c:f>Sheet1!$AY$381:$BA$381</c:f>
              <c:numCache>
                <c:formatCode>General</c:formatCode>
                <c:ptCount val="3"/>
                <c:pt idx="0">
                  <c:v>9.6072712179577451</c:v>
                </c:pt>
                <c:pt idx="1">
                  <c:v>9.589761960386447</c:v>
                </c:pt>
                <c:pt idx="2">
                  <c:v>9.764268019744371</c:v>
                </c:pt>
              </c:numCache>
            </c:numRef>
          </c:val>
        </c:ser>
        <c:ser>
          <c:idx val="3"/>
          <c:order val="2"/>
          <c:tx>
            <c:strRef>
              <c:f>Sheet1!$AX$382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Sheet1!$AY$379:$BA$379</c:f>
              <c:numCache>
                <c:formatCode>General</c:formatCode>
                <c:ptCount val="3"/>
                <c:pt idx="0">
                  <c:v>2014</c:v>
                </c:pt>
                <c:pt idx="1">
                  <c:v>2015</c:v>
                </c:pt>
                <c:pt idx="2">
                  <c:v>2016</c:v>
                </c:pt>
              </c:numCache>
            </c:numRef>
          </c:cat>
          <c:val>
            <c:numRef>
              <c:f>Sheet1!$AY$382:$BA$382</c:f>
              <c:numCache>
                <c:formatCode>General</c:formatCode>
                <c:ptCount val="3"/>
                <c:pt idx="0">
                  <c:v>12.554137866930372</c:v>
                </c:pt>
                <c:pt idx="1">
                  <c:v>12.48462829609292</c:v>
                </c:pt>
                <c:pt idx="2">
                  <c:v>12.639012196869787</c:v>
                </c:pt>
              </c:numCache>
            </c:numRef>
          </c:val>
        </c:ser>
        <c:ser>
          <c:idx val="4"/>
          <c:order val="3"/>
          <c:tx>
            <c:strRef>
              <c:f>Sheet1!$AX$383</c:f>
              <c:strCache>
                <c:ptCount val="1"/>
                <c:pt idx="0">
                  <c:v>Uttlesford</c:v>
                </c:pt>
              </c:strCache>
            </c:strRef>
          </c:tx>
          <c:spPr>
            <a:ln w="25400">
              <a:solidFill>
                <a:schemeClr val="tx1"/>
              </a:solidFill>
            </a:ln>
          </c:spPr>
          <c:marker>
            <c:symbol val="none"/>
          </c:marker>
          <c:cat>
            <c:numRef>
              <c:f>Sheet1!$AY$379:$BA$379</c:f>
              <c:numCache>
                <c:formatCode>General</c:formatCode>
                <c:ptCount val="3"/>
                <c:pt idx="0">
                  <c:v>2014</c:v>
                </c:pt>
                <c:pt idx="1">
                  <c:v>2015</c:v>
                </c:pt>
                <c:pt idx="2">
                  <c:v>2016</c:v>
                </c:pt>
              </c:numCache>
            </c:numRef>
          </c:cat>
          <c:val>
            <c:numRef>
              <c:f>Sheet1!$AY$383:$BA$383</c:f>
              <c:numCache>
                <c:formatCode>General</c:formatCode>
                <c:ptCount val="3"/>
                <c:pt idx="0">
                  <c:v>16.628487984100087</c:v>
                </c:pt>
                <c:pt idx="1">
                  <c:v>15.9645777088547</c:v>
                </c:pt>
                <c:pt idx="2">
                  <c:v>15.787434907827222</c:v>
                </c:pt>
              </c:numCache>
            </c:numRef>
          </c:val>
        </c:ser>
        <c:marker val="1"/>
        <c:axId val="161809536"/>
        <c:axId val="161811072"/>
      </c:lineChart>
      <c:catAx>
        <c:axId val="161809536"/>
        <c:scaling>
          <c:orientation val="minMax"/>
        </c:scaling>
        <c:axPos val="b"/>
        <c:numFmt formatCode="General" sourceLinked="1"/>
        <c:tickLblPos val="nextTo"/>
        <c:crossAx val="161811072"/>
        <c:crosses val="autoZero"/>
        <c:auto val="1"/>
        <c:lblAlgn val="ctr"/>
        <c:lblOffset val="100"/>
      </c:catAx>
      <c:valAx>
        <c:axId val="161811072"/>
        <c:scaling>
          <c:orientation val="minMax"/>
        </c:scaling>
        <c:axPos val="l"/>
        <c:majorGridlines/>
        <c:title>
          <c:tx>
            <c:strRef>
              <c:f>Sheet1!$AX$384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809536"/>
        <c:crosses val="autoZero"/>
        <c:crossBetween val="between"/>
      </c:valAx>
    </c:plotArea>
    <c:legend>
      <c:legendPos val="r"/>
      <c:txPr>
        <a:bodyPr/>
        <a:lstStyle/>
        <a:p>
          <a:pPr>
            <a:defRPr sz="800"/>
          </a:pPr>
          <a:endParaRPr lang="en-US"/>
        </a:p>
      </c:txPr>
    </c:legend>
    <c:plotVisOnly val="1"/>
  </c:chart>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town centre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25.887066691248631</c:v>
                </c:pt>
                <c:pt idx="1">
                  <c:v>27.415655140046823</c:v>
                </c:pt>
                <c:pt idx="2">
                  <c:v>27.63970520931538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17.961397931543786</c:v>
                </c:pt>
                <c:pt idx="1">
                  <c:v>18.070103158071223</c:v>
                </c:pt>
                <c:pt idx="2">
                  <c:v>18.298539782713693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22.392386706458993</c:v>
                </c:pt>
                <c:pt idx="1">
                  <c:v>23.225190276914621</c:v>
                </c:pt>
                <c:pt idx="2">
                  <c:v>23.461432182922202</c:v>
                </c:pt>
              </c:numCache>
            </c:numRef>
          </c:val>
        </c:ser>
        <c:ser>
          <c:idx val="3"/>
          <c:order val="3"/>
          <c:tx>
            <c:strRef>
              <c:f>Sheet1!$E$383</c:f>
              <c:strCache>
                <c:ptCount val="1"/>
                <c:pt idx="0">
                  <c:v>Uttlesford</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24.405079161399588</c:v>
                </c:pt>
                <c:pt idx="1">
                  <c:v>25.06840266175028</c:v>
                </c:pt>
                <c:pt idx="2">
                  <c:v>26.13330781486</c:v>
                </c:pt>
              </c:numCache>
            </c:numRef>
          </c:val>
        </c:ser>
        <c:marker val="1"/>
        <c:axId val="163911936"/>
        <c:axId val="163917824"/>
      </c:lineChart>
      <c:catAx>
        <c:axId val="163911936"/>
        <c:scaling>
          <c:orientation val="minMax"/>
        </c:scaling>
        <c:axPos val="b"/>
        <c:numFmt formatCode="General" sourceLinked="1"/>
        <c:tickLblPos val="nextTo"/>
        <c:crossAx val="163917824"/>
        <c:crosses val="autoZero"/>
        <c:auto val="1"/>
        <c:lblAlgn val="ctr"/>
        <c:lblOffset val="100"/>
      </c:catAx>
      <c:valAx>
        <c:axId val="16391782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911936"/>
        <c:crosses val="autoZero"/>
        <c:crossBetween val="between"/>
      </c:valAx>
    </c:plotArea>
    <c:legend>
      <c:legendPos val="r"/>
      <c:txPr>
        <a:bodyPr/>
        <a:lstStyle/>
        <a:p>
          <a:pPr>
            <a:defRPr sz="800"/>
          </a:pPr>
          <a:endParaRPr lang="en-US"/>
        </a:p>
      </c:txPr>
    </c:legend>
    <c:plotVisOnly val="1"/>
  </c:chart>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town centres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0.91845196391245387</c:v>
                </c:pt>
                <c:pt idx="1">
                  <c:v>0.89391061267021255</c:v>
                </c:pt>
                <c:pt idx="2">
                  <c:v>1.25220318888889</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3.0962050253726767</c:v>
                </c:pt>
                <c:pt idx="1">
                  <c:v>3.0546176818692965</c:v>
                </c:pt>
                <c:pt idx="2">
                  <c:v>3.668621933701655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1.4244252646736106</c:v>
                </c:pt>
                <c:pt idx="1">
                  <c:v>1.3971919184176458</c:v>
                </c:pt>
                <c:pt idx="2">
                  <c:v>1.8440837064676621</c:v>
                </c:pt>
              </c:numCache>
            </c:numRef>
          </c:val>
        </c:ser>
        <c:ser>
          <c:idx val="3"/>
          <c:order val="3"/>
          <c:tx>
            <c:strRef>
              <c:f>Sheet1!$AL$383</c:f>
              <c:strCache>
                <c:ptCount val="1"/>
                <c:pt idx="0">
                  <c:v>Uttlesford</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0.84635672227674197</c:v>
                </c:pt>
                <c:pt idx="1">
                  <c:v>0.8176979178920134</c:v>
                </c:pt>
                <c:pt idx="2">
                  <c:v>1.108325</c:v>
                </c:pt>
              </c:numCache>
            </c:numRef>
          </c:val>
        </c:ser>
        <c:axId val="163965568"/>
        <c:axId val="164036992"/>
      </c:barChart>
      <c:catAx>
        <c:axId val="163965568"/>
        <c:scaling>
          <c:orientation val="minMax"/>
        </c:scaling>
        <c:axPos val="b"/>
        <c:numFmt formatCode="General" sourceLinked="1"/>
        <c:tickLblPos val="nextTo"/>
        <c:crossAx val="164036992"/>
        <c:crosses val="autoZero"/>
        <c:auto val="1"/>
        <c:lblAlgn val="ctr"/>
        <c:lblOffset val="100"/>
      </c:catAx>
      <c:valAx>
        <c:axId val="164036992"/>
        <c:scaling>
          <c:orientation val="minMax"/>
        </c:scaling>
        <c:axPos val="l"/>
        <c:majorGridlines/>
        <c:numFmt formatCode="General" sourceLinked="1"/>
        <c:tickLblPos val="nextTo"/>
        <c:txPr>
          <a:bodyPr/>
          <a:lstStyle/>
          <a:p>
            <a:pPr>
              <a:defRPr sz="800"/>
            </a:pPr>
            <a:endParaRPr lang="en-US"/>
          </a:p>
        </c:txPr>
        <c:crossAx val="163965568"/>
        <c:crosses val="autoZero"/>
        <c:crossBetween val="between"/>
      </c:valAx>
    </c:plotArea>
    <c:legend>
      <c:legendPos val="r"/>
      <c:txPr>
        <a:bodyPr/>
        <a:lstStyle/>
        <a:p>
          <a:pPr>
            <a:defRPr sz="800"/>
          </a:pPr>
          <a:endParaRPr lang="en-US"/>
        </a:p>
      </c:txPr>
    </c:legend>
    <c:plotVisOnly val="1"/>
  </c:chart>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town centre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25.367412169568478</c:v>
                </c:pt>
                <c:pt idx="1">
                  <c:v>25.363241989400123</c:v>
                </c:pt>
                <c:pt idx="2">
                  <c:v>25.386577655748759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14.755380504948127</c:v>
                </c:pt>
                <c:pt idx="1">
                  <c:v>14.768894290337089</c:v>
                </c:pt>
                <c:pt idx="2">
                  <c:v>14.839606160573835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20.573477437262042</c:v>
                </c:pt>
                <c:pt idx="1">
                  <c:v>20.579417024508107</c:v>
                </c:pt>
                <c:pt idx="2">
                  <c:v>20.637942666254297</c:v>
                </c:pt>
              </c:numCache>
            </c:numRef>
          </c:val>
        </c:ser>
        <c:ser>
          <c:idx val="3"/>
          <c:order val="3"/>
          <c:tx>
            <c:strRef>
              <c:f>Sheet1!$P$383</c:f>
              <c:strCache>
                <c:ptCount val="1"/>
                <c:pt idx="0">
                  <c:v>Uttlesford</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25.015062951271702</c:v>
                </c:pt>
                <c:pt idx="1">
                  <c:v>25.544342743688187</c:v>
                </c:pt>
                <c:pt idx="2">
                  <c:v>24.990218759822501</c:v>
                </c:pt>
              </c:numCache>
            </c:numRef>
          </c:val>
        </c:ser>
        <c:marker val="1"/>
        <c:axId val="164059776"/>
        <c:axId val="164077952"/>
      </c:lineChart>
      <c:catAx>
        <c:axId val="164059776"/>
        <c:scaling>
          <c:orientation val="minMax"/>
        </c:scaling>
        <c:axPos val="b"/>
        <c:numFmt formatCode="General" sourceLinked="1"/>
        <c:tickLblPos val="nextTo"/>
        <c:crossAx val="164077952"/>
        <c:crosses val="autoZero"/>
        <c:auto val="1"/>
        <c:lblAlgn val="ctr"/>
        <c:lblOffset val="100"/>
      </c:catAx>
      <c:valAx>
        <c:axId val="16407795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059776"/>
        <c:crosses val="autoZero"/>
        <c:crossBetween val="between"/>
      </c:valAx>
    </c:plotArea>
    <c:legend>
      <c:legendPos val="r"/>
      <c:txPr>
        <a:bodyPr/>
        <a:lstStyle/>
        <a:p>
          <a:pPr>
            <a:defRPr sz="800"/>
          </a:pPr>
          <a:endParaRPr lang="en-US"/>
        </a:p>
      </c:txPr>
    </c:legend>
    <c:plotVisOnly val="1"/>
  </c:chart>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town centres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0.75649301268219604</c:v>
                </c:pt>
                <c:pt idx="1">
                  <c:v>0.75812888256698963</c:v>
                </c:pt>
                <c:pt idx="2">
                  <c:v>0.75436439999999949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4.0592024712475414</c:v>
                </c:pt>
                <c:pt idx="1">
                  <c:v>4.0531335393263177</c:v>
                </c:pt>
                <c:pt idx="2">
                  <c:v>4.0317282044198928</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1.4812198020328915</c:v>
                </c:pt>
                <c:pt idx="1">
                  <c:v>1.4799054056216339</c:v>
                </c:pt>
                <c:pt idx="2">
                  <c:v>1.470094024875622</c:v>
                </c:pt>
              </c:numCache>
            </c:numRef>
          </c:val>
        </c:ser>
        <c:ser>
          <c:idx val="3"/>
          <c:order val="3"/>
          <c:tx>
            <c:strRef>
              <c:f>Sheet1!$AW$383</c:f>
              <c:strCache>
                <c:ptCount val="1"/>
                <c:pt idx="0">
                  <c:v>Uttlesford</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0.69768155053974545</c:v>
                </c:pt>
                <c:pt idx="1">
                  <c:v>0.69362427949653072</c:v>
                </c:pt>
                <c:pt idx="2">
                  <c:v>0.69385799999999997</c:v>
                </c:pt>
              </c:numCache>
            </c:numRef>
          </c:val>
        </c:ser>
        <c:axId val="164101120"/>
        <c:axId val="164107008"/>
      </c:barChart>
      <c:catAx>
        <c:axId val="164101120"/>
        <c:scaling>
          <c:orientation val="minMax"/>
        </c:scaling>
        <c:axPos val="b"/>
        <c:numFmt formatCode="General" sourceLinked="1"/>
        <c:tickLblPos val="nextTo"/>
        <c:crossAx val="164107008"/>
        <c:crosses val="autoZero"/>
        <c:auto val="1"/>
        <c:lblAlgn val="ctr"/>
        <c:lblOffset val="100"/>
      </c:catAx>
      <c:valAx>
        <c:axId val="164107008"/>
        <c:scaling>
          <c:orientation val="minMax"/>
        </c:scaling>
        <c:axPos val="l"/>
        <c:majorGridlines/>
        <c:numFmt formatCode="General" sourceLinked="1"/>
        <c:tickLblPos val="nextTo"/>
        <c:txPr>
          <a:bodyPr/>
          <a:lstStyle/>
          <a:p>
            <a:pPr>
              <a:defRPr sz="800"/>
            </a:pPr>
            <a:endParaRPr lang="en-US"/>
          </a:p>
        </c:txPr>
        <c:crossAx val="164101120"/>
        <c:crosses val="autoZero"/>
        <c:crossBetween val="between"/>
      </c:valAx>
    </c:plotArea>
    <c:legend>
      <c:legendPos val="r"/>
      <c:txPr>
        <a:bodyPr/>
        <a:lstStyle/>
        <a:p>
          <a:pPr>
            <a:defRPr sz="800"/>
          </a:pPr>
          <a:endParaRPr lang="en-US"/>
        </a:p>
      </c:txPr>
    </c:legend>
    <c:plotVisOnly val="1"/>
  </c:chart>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town centre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13.676523362647442</c:v>
                </c:pt>
                <c:pt idx="1">
                  <c:v>13.525411919796298</c:v>
                </c:pt>
                <c:pt idx="2">
                  <c:v>13.867963510066117</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11.165200868457704</c:v>
                </c:pt>
                <c:pt idx="1">
                  <c:v>10.733508101576341</c:v>
                </c:pt>
                <c:pt idx="2">
                  <c:v>11.447169338369884</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12.617645861619819</c:v>
                </c:pt>
                <c:pt idx="1">
                  <c:v>12.353245044877466</c:v>
                </c:pt>
                <c:pt idx="2">
                  <c:v>12.837163081114968</c:v>
                </c:pt>
              </c:numCache>
            </c:numRef>
          </c:val>
        </c:ser>
        <c:ser>
          <c:idx val="3"/>
          <c:order val="3"/>
          <c:tx>
            <c:strRef>
              <c:f>Sheet1!$AA$383</c:f>
              <c:strCache>
                <c:ptCount val="1"/>
                <c:pt idx="0">
                  <c:v>Uttlesford</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13.083712371346007</c:v>
                </c:pt>
                <c:pt idx="1">
                  <c:v>12.937559870944504</c:v>
                </c:pt>
                <c:pt idx="2">
                  <c:v>13.413880528534104</c:v>
                </c:pt>
              </c:numCache>
            </c:numRef>
          </c:val>
        </c:ser>
        <c:marker val="1"/>
        <c:axId val="164133888"/>
        <c:axId val="164152064"/>
      </c:lineChart>
      <c:catAx>
        <c:axId val="164133888"/>
        <c:scaling>
          <c:orientation val="minMax"/>
        </c:scaling>
        <c:axPos val="b"/>
        <c:numFmt formatCode="General" sourceLinked="1"/>
        <c:tickLblPos val="nextTo"/>
        <c:crossAx val="164152064"/>
        <c:crosses val="autoZero"/>
        <c:auto val="1"/>
        <c:lblAlgn val="ctr"/>
        <c:lblOffset val="100"/>
      </c:catAx>
      <c:valAx>
        <c:axId val="16415206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133888"/>
        <c:crosses val="autoZero"/>
        <c:crossBetween val="between"/>
      </c:valAx>
    </c:plotArea>
    <c:legend>
      <c:legendPos val="r"/>
      <c:txPr>
        <a:bodyPr/>
        <a:lstStyle/>
        <a:p>
          <a:pPr>
            <a:defRPr sz="800"/>
          </a:pPr>
          <a:endParaRPr lang="en-US"/>
        </a:p>
      </c:txPr>
    </c:legend>
    <c:plotVisOnly val="1"/>
  </c:chart>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town centres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4.8627499002286276</c:v>
                </c:pt>
                <c:pt idx="1">
                  <c:v>4.4260641064383712</c:v>
                </c:pt>
                <c:pt idx="2">
                  <c:v>4.2493166999999996</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8.8903210598189375</c:v>
                </c:pt>
                <c:pt idx="1">
                  <c:v>8.639822935220355</c:v>
                </c:pt>
                <c:pt idx="2">
                  <c:v>8.3426993038674162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6.5105898028124898</c:v>
                </c:pt>
                <c:pt idx="1">
                  <c:v>6.0784435962903318</c:v>
                </c:pt>
                <c:pt idx="2">
                  <c:v>5.82478520398009</c:v>
                </c:pt>
              </c:numCache>
            </c:numRef>
          </c:val>
        </c:ser>
        <c:ser>
          <c:idx val="3"/>
          <c:order val="3"/>
          <c:tx>
            <c:strRef>
              <c:f>Sheet1!$BH$383</c:f>
              <c:strCache>
                <c:ptCount val="1"/>
                <c:pt idx="0">
                  <c:v>Uttlesford</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4.8043424926398437</c:v>
                </c:pt>
                <c:pt idx="1">
                  <c:v>3.5464063051405681</c:v>
                </c:pt>
                <c:pt idx="2">
                  <c:v>3.1914829999999981</c:v>
                </c:pt>
              </c:numCache>
            </c:numRef>
          </c:val>
        </c:ser>
        <c:axId val="164187520"/>
        <c:axId val="164197504"/>
      </c:barChart>
      <c:catAx>
        <c:axId val="164187520"/>
        <c:scaling>
          <c:orientation val="minMax"/>
        </c:scaling>
        <c:axPos val="b"/>
        <c:numFmt formatCode="General" sourceLinked="1"/>
        <c:tickLblPos val="nextTo"/>
        <c:crossAx val="164197504"/>
        <c:crosses val="autoZero"/>
        <c:auto val="1"/>
        <c:lblAlgn val="ctr"/>
        <c:lblOffset val="100"/>
      </c:catAx>
      <c:valAx>
        <c:axId val="164197504"/>
        <c:scaling>
          <c:orientation val="minMax"/>
        </c:scaling>
        <c:axPos val="l"/>
        <c:majorGridlines/>
        <c:numFmt formatCode="General" sourceLinked="1"/>
        <c:tickLblPos val="nextTo"/>
        <c:txPr>
          <a:bodyPr/>
          <a:lstStyle/>
          <a:p>
            <a:pPr>
              <a:defRPr sz="800"/>
            </a:pPr>
            <a:endParaRPr lang="en-US"/>
          </a:p>
        </c:txPr>
        <c:crossAx val="164187520"/>
        <c:crosses val="autoZero"/>
        <c:crossBetween val="between"/>
      </c:valAx>
    </c:plotArea>
    <c:legend>
      <c:legendPos val="r"/>
      <c:txPr>
        <a:bodyPr/>
        <a:lstStyle/>
        <a:p>
          <a:pPr>
            <a:defRPr sz="800"/>
          </a:pPr>
          <a:endParaRPr lang="en-US"/>
        </a:p>
      </c:txPr>
    </c:legend>
    <c:plotVisOnly val="1"/>
  </c:chart>
  <c:externalData r:id="rId1"/>
</c:chartSpace>
</file>

<file path=word/charts/chart5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Motor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Sheet1!$C$180</c:f>
              <c:strCache>
                <c:ptCount val="1"/>
                <c:pt idx="0">
                  <c:v>Essex</c:v>
                </c:pt>
              </c:strCache>
            </c:strRef>
          </c:tx>
          <c:spPr>
            <a:ln w="25400">
              <a:solidFill>
                <a:schemeClr val="tx1"/>
              </a:solidFill>
            </a:ln>
          </c:spPr>
          <c:marker>
            <c:symbol val="none"/>
          </c:marker>
          <c:cat>
            <c:numRef>
              <c:f>Sheet1!$D$176:$H$176</c:f>
              <c:numCache>
                <c:formatCode>General</c:formatCode>
                <c:ptCount val="5"/>
                <c:pt idx="0">
                  <c:v>2012</c:v>
                </c:pt>
                <c:pt idx="1">
                  <c:v>2013</c:v>
                </c:pt>
                <c:pt idx="2">
                  <c:v>2014</c:v>
                </c:pt>
                <c:pt idx="3">
                  <c:v>2015</c:v>
                </c:pt>
                <c:pt idx="4">
                  <c:v>2016</c:v>
                </c:pt>
              </c:numCache>
            </c:numRef>
          </c:cat>
          <c:val>
            <c:numRef>
              <c:f>Sheet1!$D$180:$H$180</c:f>
              <c:numCache>
                <c:formatCode>General</c:formatCode>
                <c:ptCount val="5"/>
                <c:pt idx="0">
                  <c:v>8489</c:v>
                </c:pt>
                <c:pt idx="1">
                  <c:v>8525</c:v>
                </c:pt>
                <c:pt idx="2">
                  <c:v>8860</c:v>
                </c:pt>
                <c:pt idx="3">
                  <c:v>9043</c:v>
                </c:pt>
                <c:pt idx="4">
                  <c:v>9303</c:v>
                </c:pt>
              </c:numCache>
            </c:numRef>
          </c:val>
        </c:ser>
        <c:marker val="1"/>
        <c:axId val="164234368"/>
        <c:axId val="164235904"/>
      </c:lineChart>
      <c:catAx>
        <c:axId val="164234368"/>
        <c:scaling>
          <c:orientation val="minMax"/>
        </c:scaling>
        <c:axPos val="b"/>
        <c:numFmt formatCode="General" sourceLinked="1"/>
        <c:tickLblPos val="nextTo"/>
        <c:crossAx val="164235904"/>
        <c:crosses val="autoZero"/>
        <c:auto val="1"/>
        <c:lblAlgn val="ctr"/>
        <c:lblOffset val="100"/>
      </c:catAx>
      <c:valAx>
        <c:axId val="164235904"/>
        <c:scaling>
          <c:orientation val="minMax"/>
        </c:scaling>
        <c:axPos val="l"/>
        <c:majorGridlines/>
        <c:title>
          <c:tx>
            <c:strRef>
              <c:f>Sheet1!$D$175</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234368"/>
        <c:crosses val="autoZero"/>
        <c:crossBetween val="between"/>
      </c:valAx>
    </c:plotArea>
    <c:legend>
      <c:legendPos val="r"/>
      <c:txPr>
        <a:bodyPr/>
        <a:lstStyle/>
        <a:p>
          <a:pPr>
            <a:defRPr sz="900"/>
          </a:pPr>
          <a:endParaRPr lang="en-US"/>
        </a:p>
      </c:txPr>
    </c:legend>
    <c:plotVisOnly val="1"/>
  </c:chart>
  <c:externalData r:id="rId1"/>
</c:chartSpace>
</file>

<file path=word/charts/chart57.xml><?xml version="1.0" encoding="utf-8"?>
<c:chartSpace xmlns:c="http://schemas.openxmlformats.org/drawingml/2006/chart" xmlns:a="http://schemas.openxmlformats.org/drawingml/2006/main" xmlns:r="http://schemas.openxmlformats.org/officeDocument/2006/relationships">
  <c:lang val="en-GB"/>
  <c:chart>
    <c:title>
      <c:tx>
        <c:strRef>
          <c:f>Sheet1!$Q$176</c:f>
          <c:strCache>
            <c:ptCount val="1"/>
            <c:pt idx="0">
              <c:v>Motor vehicle traffic (vehicle miles per head of population)</c:v>
            </c:pt>
          </c:strCache>
        </c:strRef>
      </c:tx>
      <c:txPr>
        <a:bodyPr/>
        <a:lstStyle/>
        <a:p>
          <a:pPr>
            <a:defRPr sz="800">
              <a:latin typeface="Segoe UI" pitchFamily="34" charset="0"/>
              <a:cs typeface="Segoe UI" pitchFamily="34" charset="0"/>
            </a:defRPr>
          </a:pPr>
          <a:endParaRPr lang="en-US"/>
        </a:p>
      </c:txPr>
    </c:title>
    <c:plotArea>
      <c:layout/>
      <c:barChart>
        <c:barDir val="col"/>
        <c:grouping val="clustered"/>
        <c:ser>
          <c:idx val="3"/>
          <c:order val="3"/>
          <c:tx>
            <c:strRef>
              <c:f>Sheet1!$Q$180</c:f>
              <c:strCache>
                <c:ptCount val="1"/>
                <c:pt idx="0">
                  <c:v>Essex</c:v>
                </c:pt>
              </c:strCache>
            </c:strRef>
          </c:tx>
          <c:spPr>
            <a:solidFill>
              <a:schemeClr val="tx1"/>
            </a:solidFill>
          </c:spPr>
          <c:val>
            <c:numRef>
              <c:f>Sheet1!$R$180:$V$180</c:f>
              <c:numCache>
                <c:formatCode>General</c:formatCode>
                <c:ptCount val="5"/>
                <c:pt idx="0">
                  <c:v>6033.0442247939764</c:v>
                </c:pt>
                <c:pt idx="1">
                  <c:v>6013.7020702654354</c:v>
                </c:pt>
                <c:pt idx="2">
                  <c:v>6181.6167369715131</c:v>
                </c:pt>
                <c:pt idx="3">
                  <c:v>6256.7329240591953</c:v>
                </c:pt>
                <c:pt idx="4">
                  <c:v>6381.0523283330249</c:v>
                </c:pt>
              </c:numCache>
            </c:numRef>
          </c:val>
        </c:ser>
        <c:axId val="164267904"/>
        <c:axId val="164269440"/>
      </c:barChart>
      <c:lineChart>
        <c:grouping val="standard"/>
        <c:ser>
          <c:idx val="0"/>
          <c:order val="0"/>
          <c:tx>
            <c:strRef>
              <c:f>Sheet1!$Q$177</c:f>
              <c:strCache>
                <c:ptCount val="1"/>
                <c:pt idx="0">
                  <c:v>Predominantly Rural average</c:v>
                </c:pt>
              </c:strCache>
            </c:strRef>
          </c:tx>
          <c:spPr>
            <a:ln w="25400">
              <a:solidFill>
                <a:schemeClr val="bg1">
                  <a:lumMod val="75000"/>
                </a:schemeClr>
              </a:solidFill>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Sheet1!$R$177:$V$177</c:f>
              <c:numCache>
                <c:formatCode>General</c:formatCode>
                <c:ptCount val="5"/>
                <c:pt idx="0">
                  <c:v>6046.1148483450106</c:v>
                </c:pt>
                <c:pt idx="1">
                  <c:v>6086.0762997726633</c:v>
                </c:pt>
                <c:pt idx="2">
                  <c:v>6197.0944759948761</c:v>
                </c:pt>
                <c:pt idx="3">
                  <c:v>6293.2101676105158</c:v>
                </c:pt>
                <c:pt idx="4">
                  <c:v>6402.9069423008605</c:v>
                </c:pt>
              </c:numCache>
            </c:numRef>
          </c:val>
        </c:ser>
        <c:ser>
          <c:idx val="1"/>
          <c:order val="1"/>
          <c:tx>
            <c:strRef>
              <c:f>Sheet1!$Q$178</c:f>
              <c:strCache>
                <c:ptCount val="1"/>
                <c:pt idx="0">
                  <c:v>Predominantly Urban average</c:v>
                </c:pt>
              </c:strCache>
            </c:strRef>
          </c:tx>
          <c:spPr>
            <a:ln w="25400">
              <a:solidFill>
                <a:schemeClr val="accent6">
                  <a:lumMod val="75000"/>
                </a:schemeClr>
              </a:solidFill>
              <a:prstDash val="sysDash"/>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Sheet1!$R$178:$V$178</c:f>
              <c:numCache>
                <c:formatCode>General</c:formatCode>
                <c:ptCount val="5"/>
                <c:pt idx="0">
                  <c:v>3811.7667006883617</c:v>
                </c:pt>
                <c:pt idx="1">
                  <c:v>3776.7483995031757</c:v>
                </c:pt>
                <c:pt idx="2">
                  <c:v>3836.3106711409268</c:v>
                </c:pt>
                <c:pt idx="3">
                  <c:v>3842.4564727545512</c:v>
                </c:pt>
                <c:pt idx="4">
                  <c:v>3882.2802241691484</c:v>
                </c:pt>
              </c:numCache>
            </c:numRef>
          </c:val>
        </c:ser>
        <c:ser>
          <c:idx val="2"/>
          <c:order val="2"/>
          <c:tx>
            <c:strRef>
              <c:f>Sheet1!$Q$179</c:f>
              <c:strCache>
                <c:ptCount val="1"/>
                <c:pt idx="0">
                  <c:v>Shire County average</c:v>
                </c:pt>
              </c:strCache>
            </c:strRef>
          </c:tx>
          <c:spPr>
            <a:ln w="25400">
              <a:solidFill>
                <a:schemeClr val="accent1">
                  <a:lumMod val="60000"/>
                  <a:lumOff val="40000"/>
                </a:schemeClr>
              </a:solidFill>
              <a:prstDash val="sysDot"/>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Sheet1!$R$179:$V$179</c:f>
              <c:numCache>
                <c:formatCode>General</c:formatCode>
                <c:ptCount val="5"/>
                <c:pt idx="0">
                  <c:v>6378.4468264721954</c:v>
                </c:pt>
                <c:pt idx="1">
                  <c:v>6374.5049113958239</c:v>
                </c:pt>
                <c:pt idx="2">
                  <c:v>6492.4690598376183</c:v>
                </c:pt>
                <c:pt idx="3">
                  <c:v>6584.9875440266815</c:v>
                </c:pt>
                <c:pt idx="4">
                  <c:v>6680.1987383262085</c:v>
                </c:pt>
              </c:numCache>
            </c:numRef>
          </c:val>
        </c:ser>
        <c:marker val="1"/>
        <c:axId val="164267904"/>
        <c:axId val="164269440"/>
      </c:lineChart>
      <c:catAx>
        <c:axId val="164267904"/>
        <c:scaling>
          <c:orientation val="minMax"/>
        </c:scaling>
        <c:axPos val="b"/>
        <c:tickLblPos val="nextTo"/>
        <c:crossAx val="164269440"/>
        <c:crosses val="autoZero"/>
        <c:auto val="1"/>
        <c:lblAlgn val="ctr"/>
        <c:lblOffset val="100"/>
      </c:catAx>
      <c:valAx>
        <c:axId val="164269440"/>
        <c:scaling>
          <c:orientation val="minMax"/>
        </c:scaling>
        <c:axPos val="l"/>
        <c:majorGridlines/>
        <c:title>
          <c:tx>
            <c:strRef>
              <c:f>Sheet1!$R$175</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26790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58.xml><?xml version="1.0" encoding="utf-8"?>
<c:chartSpace xmlns:c="http://schemas.openxmlformats.org/drawingml/2006/chart" xmlns:a="http://schemas.openxmlformats.org/drawingml/2006/main" xmlns:r="http://schemas.openxmlformats.org/officeDocument/2006/relationships">
  <c:date1904 val="1"/>
  <c:lang val="en-GB"/>
  <c:chart>
    <c:title>
      <c:tx>
        <c:strRef>
          <c:f>Sheet1!$C$375</c:f>
          <c:strCache>
            <c:ptCount val="1"/>
            <c:pt idx="0">
              <c:v>Car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Sheet1!$C$379</c:f>
              <c:strCache>
                <c:ptCount val="1"/>
                <c:pt idx="0">
                  <c:v>Essex</c:v>
                </c:pt>
              </c:strCache>
            </c:strRef>
          </c:tx>
          <c:spPr>
            <a:ln w="25400">
              <a:solidFill>
                <a:schemeClr val="tx1"/>
              </a:solidFill>
            </a:ln>
          </c:spPr>
          <c:marker>
            <c:symbol val="none"/>
          </c:marker>
          <c:cat>
            <c:numRef>
              <c:f>Sheet1!$D$375:$H$375</c:f>
              <c:numCache>
                <c:formatCode>General</c:formatCode>
                <c:ptCount val="5"/>
                <c:pt idx="0">
                  <c:v>2012</c:v>
                </c:pt>
                <c:pt idx="1">
                  <c:v>2013</c:v>
                </c:pt>
                <c:pt idx="2">
                  <c:v>2014</c:v>
                </c:pt>
                <c:pt idx="3">
                  <c:v>2015</c:v>
                </c:pt>
                <c:pt idx="4">
                  <c:v>2016</c:v>
                </c:pt>
              </c:numCache>
            </c:numRef>
          </c:cat>
          <c:val>
            <c:numRef>
              <c:f>Sheet1!$D$379:$H$379</c:f>
              <c:numCache>
                <c:formatCode>General</c:formatCode>
                <c:ptCount val="5"/>
                <c:pt idx="0">
                  <c:v>6693</c:v>
                </c:pt>
                <c:pt idx="1">
                  <c:v>6689</c:v>
                </c:pt>
                <c:pt idx="2">
                  <c:v>6893</c:v>
                </c:pt>
                <c:pt idx="3">
                  <c:v>6991</c:v>
                </c:pt>
                <c:pt idx="4">
                  <c:v>7169</c:v>
                </c:pt>
              </c:numCache>
            </c:numRef>
          </c:val>
        </c:ser>
        <c:marker val="1"/>
        <c:axId val="164306944"/>
        <c:axId val="164308480"/>
      </c:lineChart>
      <c:catAx>
        <c:axId val="164306944"/>
        <c:scaling>
          <c:orientation val="minMax"/>
        </c:scaling>
        <c:axPos val="b"/>
        <c:numFmt formatCode="General" sourceLinked="1"/>
        <c:tickLblPos val="nextTo"/>
        <c:crossAx val="164308480"/>
        <c:crosses val="autoZero"/>
        <c:auto val="1"/>
        <c:lblAlgn val="ctr"/>
        <c:lblOffset val="100"/>
      </c:catAx>
      <c:valAx>
        <c:axId val="164308480"/>
        <c:scaling>
          <c:orientation val="minMax"/>
        </c:scaling>
        <c:axPos val="l"/>
        <c:majorGridlines/>
        <c:title>
          <c:tx>
            <c:strRef>
              <c:f>Sheet1!$D$374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306944"/>
        <c:crosses val="autoZero"/>
        <c:crossBetween val="between"/>
      </c:valAx>
    </c:plotArea>
    <c:legend>
      <c:legendPos val="r"/>
      <c:txPr>
        <a:bodyPr/>
        <a:lstStyle/>
        <a:p>
          <a:pPr>
            <a:defRPr sz="900"/>
          </a:pPr>
          <a:endParaRPr lang="en-US"/>
        </a:p>
      </c:txPr>
    </c:legend>
    <c:plotVisOnly val="1"/>
  </c:chart>
  <c:externalData r:id="rId1"/>
</c:chartSpace>
</file>

<file path=word/charts/chart59.xml><?xml version="1.0" encoding="utf-8"?>
<c:chartSpace xmlns:c="http://schemas.openxmlformats.org/drawingml/2006/chart" xmlns:a="http://schemas.openxmlformats.org/drawingml/2006/main" xmlns:r="http://schemas.openxmlformats.org/officeDocument/2006/relationships">
  <c:lang val="en-GB"/>
  <c:chart>
    <c:title>
      <c:tx>
        <c:strRef>
          <c:f>Sheet1!$Q$375</c:f>
          <c:strCache>
            <c:ptCount val="1"/>
            <c:pt idx="0">
              <c:v>Car vehicle traffic (vehicle miles per head of population)</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Sheet1!$Q$379</c:f>
              <c:strCache>
                <c:ptCount val="1"/>
                <c:pt idx="0">
                  <c:v>Essex</c:v>
                </c:pt>
              </c:strCache>
            </c:strRef>
          </c:tx>
          <c:spPr>
            <a:solidFill>
              <a:schemeClr val="tx1"/>
            </a:solidFill>
          </c:spPr>
          <c:cat>
            <c:numRef>
              <c:f>Sheet1!$R$375:$V$375</c:f>
              <c:numCache>
                <c:formatCode>General</c:formatCode>
                <c:ptCount val="5"/>
                <c:pt idx="0">
                  <c:v>2012</c:v>
                </c:pt>
                <c:pt idx="1">
                  <c:v>2013</c:v>
                </c:pt>
                <c:pt idx="2">
                  <c:v>2014</c:v>
                </c:pt>
                <c:pt idx="3">
                  <c:v>2015</c:v>
                </c:pt>
                <c:pt idx="4">
                  <c:v>2016</c:v>
                </c:pt>
              </c:numCache>
            </c:numRef>
          </c:cat>
          <c:val>
            <c:numRef>
              <c:f>Sheet1!$R$379:$V$379</c:f>
              <c:numCache>
                <c:formatCode>General</c:formatCode>
                <c:ptCount val="5"/>
                <c:pt idx="0">
                  <c:v>4756.6456586813611</c:v>
                </c:pt>
                <c:pt idx="1">
                  <c:v>4718.5516889156024</c:v>
                </c:pt>
                <c:pt idx="2">
                  <c:v>4809.2420054113591</c:v>
                </c:pt>
                <c:pt idx="3">
                  <c:v>4836.9810762023435</c:v>
                </c:pt>
                <c:pt idx="4">
                  <c:v>4917.3131400429384</c:v>
                </c:pt>
              </c:numCache>
            </c:numRef>
          </c:val>
        </c:ser>
        <c:axId val="164356864"/>
        <c:axId val="164358400"/>
      </c:barChart>
      <c:lineChart>
        <c:grouping val="standard"/>
        <c:ser>
          <c:idx val="0"/>
          <c:order val="0"/>
          <c:tx>
            <c:strRef>
              <c:f>Sheet1!$Q$376</c:f>
              <c:strCache>
                <c:ptCount val="1"/>
                <c:pt idx="0">
                  <c:v>Predominantly Rural average</c:v>
                </c:pt>
              </c:strCache>
            </c:strRef>
          </c:tx>
          <c:spPr>
            <a:ln w="25400">
              <a:solidFill>
                <a:schemeClr val="bg1">
                  <a:lumMod val="75000"/>
                </a:schemeClr>
              </a:solidFill>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Sheet1!$R$376:$V$376</c:f>
              <c:numCache>
                <c:formatCode>General</c:formatCode>
                <c:ptCount val="5"/>
                <c:pt idx="0">
                  <c:v>4713.7153011759792</c:v>
                </c:pt>
                <c:pt idx="1">
                  <c:v>4724.1366585373344</c:v>
                </c:pt>
                <c:pt idx="2">
                  <c:v>4789.3435393026548</c:v>
                </c:pt>
                <c:pt idx="3">
                  <c:v>4827.2398093495622</c:v>
                </c:pt>
                <c:pt idx="4">
                  <c:v>4898.1674382201991</c:v>
                </c:pt>
              </c:numCache>
            </c:numRef>
          </c:val>
        </c:ser>
        <c:ser>
          <c:idx val="1"/>
          <c:order val="1"/>
          <c:tx>
            <c:strRef>
              <c:f>Sheet1!$Q$377</c:f>
              <c:strCache>
                <c:ptCount val="1"/>
                <c:pt idx="0">
                  <c:v>Predominantly Urban average</c:v>
                </c:pt>
              </c:strCache>
            </c:strRef>
          </c:tx>
          <c:spPr>
            <a:ln w="25400">
              <a:solidFill>
                <a:schemeClr val="accent6">
                  <a:lumMod val="75000"/>
                </a:schemeClr>
              </a:solidFill>
              <a:prstDash val="sysDash"/>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Sheet1!$R$377:$V$377</c:f>
              <c:numCache>
                <c:formatCode>General</c:formatCode>
                <c:ptCount val="5"/>
                <c:pt idx="0">
                  <c:v>3068.8377094066645</c:v>
                </c:pt>
                <c:pt idx="1">
                  <c:v>3028.2813919836517</c:v>
                </c:pt>
                <c:pt idx="2">
                  <c:v>3057.3155548698851</c:v>
                </c:pt>
                <c:pt idx="3">
                  <c:v>3050.8708260952349</c:v>
                </c:pt>
                <c:pt idx="4">
                  <c:v>3079.1184299296328</c:v>
                </c:pt>
              </c:numCache>
            </c:numRef>
          </c:val>
        </c:ser>
        <c:ser>
          <c:idx val="2"/>
          <c:order val="2"/>
          <c:tx>
            <c:strRef>
              <c:f>Sheet1!$Q$378</c:f>
              <c:strCache>
                <c:ptCount val="1"/>
                <c:pt idx="0">
                  <c:v>Shire County average</c:v>
                </c:pt>
              </c:strCache>
            </c:strRef>
          </c:tx>
          <c:spPr>
            <a:ln w="25400">
              <a:solidFill>
                <a:schemeClr val="accent1">
                  <a:lumMod val="60000"/>
                  <a:lumOff val="40000"/>
                </a:schemeClr>
              </a:solidFill>
              <a:prstDash val="sysDot"/>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Sheet1!$R$378:$V$378</c:f>
              <c:numCache>
                <c:formatCode>General</c:formatCode>
                <c:ptCount val="5"/>
                <c:pt idx="0">
                  <c:v>5043.1300188141913</c:v>
                </c:pt>
                <c:pt idx="1">
                  <c:v>5013.5185009466986</c:v>
                </c:pt>
                <c:pt idx="2">
                  <c:v>5078.3298395523543</c:v>
                </c:pt>
                <c:pt idx="3">
                  <c:v>5120.3931239847889</c:v>
                </c:pt>
                <c:pt idx="4">
                  <c:v>5179.1450770743349</c:v>
                </c:pt>
              </c:numCache>
            </c:numRef>
          </c:val>
        </c:ser>
        <c:marker val="1"/>
        <c:axId val="164356864"/>
        <c:axId val="164358400"/>
      </c:lineChart>
      <c:catAx>
        <c:axId val="164356864"/>
        <c:scaling>
          <c:orientation val="minMax"/>
        </c:scaling>
        <c:axPos val="b"/>
        <c:numFmt formatCode="General" sourceLinked="1"/>
        <c:tickLblPos val="nextTo"/>
        <c:crossAx val="164358400"/>
        <c:crosses val="autoZero"/>
        <c:auto val="1"/>
        <c:lblAlgn val="ctr"/>
        <c:lblOffset val="100"/>
      </c:catAx>
      <c:valAx>
        <c:axId val="164358400"/>
        <c:scaling>
          <c:orientation val="minMax"/>
        </c:scaling>
        <c:axPos val="l"/>
        <c:majorGridlines/>
        <c:title>
          <c:tx>
            <c:strRef>
              <c:f>Sheet1!$R$374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35686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Sheet1!$BI$379</c:f>
          <c:strCache>
            <c:ptCount val="1"/>
            <c:pt idx="0">
              <c:v>Travel time to nearest employment centre with 500 to 4999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Sheet1!$BI$380</c:f>
              <c:strCache>
                <c:ptCount val="1"/>
                <c:pt idx="0">
                  <c:v>Predominantly Rural average</c:v>
                </c:pt>
              </c:strCache>
            </c:strRef>
          </c:tx>
          <c:spPr>
            <a:ln w="25400">
              <a:solidFill>
                <a:schemeClr val="bg1">
                  <a:lumMod val="65000"/>
                </a:schemeClr>
              </a:solidFill>
            </a:ln>
          </c:spPr>
          <c:marker>
            <c:symbol val="none"/>
          </c:marker>
          <c:cat>
            <c:numRef>
              <c:f>Sheet1!$BJ$379:$BL$379</c:f>
              <c:numCache>
                <c:formatCode>General</c:formatCode>
                <c:ptCount val="3"/>
                <c:pt idx="0">
                  <c:v>2014</c:v>
                </c:pt>
                <c:pt idx="1">
                  <c:v>2015</c:v>
                </c:pt>
                <c:pt idx="2">
                  <c:v>2016</c:v>
                </c:pt>
              </c:numCache>
            </c:numRef>
          </c:cat>
          <c:val>
            <c:numRef>
              <c:f>Sheet1!$BJ$380:$BL$380</c:f>
              <c:numCache>
                <c:formatCode>General</c:formatCode>
                <c:ptCount val="3"/>
                <c:pt idx="0">
                  <c:v>9.7739404786540014</c:v>
                </c:pt>
                <c:pt idx="1">
                  <c:v>9.7104394377003569</c:v>
                </c:pt>
                <c:pt idx="2">
                  <c:v>9.922267401144758</c:v>
                </c:pt>
              </c:numCache>
            </c:numRef>
          </c:val>
        </c:ser>
        <c:ser>
          <c:idx val="2"/>
          <c:order val="1"/>
          <c:tx>
            <c:strRef>
              <c:f>Sheet1!$BI$381</c:f>
              <c:strCache>
                <c:ptCount val="1"/>
                <c:pt idx="0">
                  <c:v>Predominantly Urban average</c:v>
                </c:pt>
              </c:strCache>
            </c:strRef>
          </c:tx>
          <c:spPr>
            <a:ln w="25400">
              <a:solidFill>
                <a:schemeClr val="accent6">
                  <a:lumMod val="75000"/>
                </a:schemeClr>
              </a:solidFill>
              <a:prstDash val="sysDash"/>
            </a:ln>
          </c:spPr>
          <c:marker>
            <c:symbol val="none"/>
          </c:marker>
          <c:cat>
            <c:numRef>
              <c:f>Sheet1!$BJ$379:$BL$379</c:f>
              <c:numCache>
                <c:formatCode>General</c:formatCode>
                <c:ptCount val="3"/>
                <c:pt idx="0">
                  <c:v>2014</c:v>
                </c:pt>
                <c:pt idx="1">
                  <c:v>2015</c:v>
                </c:pt>
                <c:pt idx="2">
                  <c:v>2016</c:v>
                </c:pt>
              </c:numCache>
            </c:numRef>
          </c:cat>
          <c:val>
            <c:numRef>
              <c:f>Sheet1!$BJ$381:$BL$381</c:f>
              <c:numCache>
                <c:formatCode>General</c:formatCode>
                <c:ptCount val="3"/>
                <c:pt idx="0">
                  <c:v>8.0680469865790947</c:v>
                </c:pt>
                <c:pt idx="1">
                  <c:v>7.9071815740777414</c:v>
                </c:pt>
                <c:pt idx="2">
                  <c:v>8.2174092022102396</c:v>
                </c:pt>
              </c:numCache>
            </c:numRef>
          </c:val>
        </c:ser>
        <c:ser>
          <c:idx val="3"/>
          <c:order val="2"/>
          <c:tx>
            <c:strRef>
              <c:f>Sheet1!$BI$382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Sheet1!$BJ$379:$BL$379</c:f>
              <c:numCache>
                <c:formatCode>General</c:formatCode>
                <c:ptCount val="3"/>
                <c:pt idx="0">
                  <c:v>2014</c:v>
                </c:pt>
                <c:pt idx="1">
                  <c:v>2015</c:v>
                </c:pt>
                <c:pt idx="2">
                  <c:v>2016</c:v>
                </c:pt>
              </c:numCache>
            </c:numRef>
          </c:cat>
          <c:val>
            <c:numRef>
              <c:f>Sheet1!$BJ$382:$BL$382</c:f>
              <c:numCache>
                <c:formatCode>General</c:formatCode>
                <c:ptCount val="3"/>
                <c:pt idx="0">
                  <c:v>8.9958451383644569</c:v>
                </c:pt>
                <c:pt idx="1">
                  <c:v>8.9095487108821967</c:v>
                </c:pt>
                <c:pt idx="2">
                  <c:v>9.1234899520484767</c:v>
                </c:pt>
              </c:numCache>
            </c:numRef>
          </c:val>
        </c:ser>
        <c:ser>
          <c:idx val="4"/>
          <c:order val="3"/>
          <c:tx>
            <c:strRef>
              <c:f>Sheet1!$BI$383</c:f>
              <c:strCache>
                <c:ptCount val="1"/>
                <c:pt idx="0">
                  <c:v>Uttlesford</c:v>
                </c:pt>
              </c:strCache>
            </c:strRef>
          </c:tx>
          <c:spPr>
            <a:ln w="25400">
              <a:solidFill>
                <a:schemeClr val="tx1"/>
              </a:solidFill>
            </a:ln>
          </c:spPr>
          <c:marker>
            <c:symbol val="none"/>
          </c:marker>
          <c:cat>
            <c:numRef>
              <c:f>Sheet1!$BJ$379:$BL$379</c:f>
              <c:numCache>
                <c:formatCode>General</c:formatCode>
                <c:ptCount val="3"/>
                <c:pt idx="0">
                  <c:v>2014</c:v>
                </c:pt>
                <c:pt idx="1">
                  <c:v>2015</c:v>
                </c:pt>
                <c:pt idx="2">
                  <c:v>2016</c:v>
                </c:pt>
              </c:numCache>
            </c:numRef>
          </c:cat>
          <c:val>
            <c:numRef>
              <c:f>Sheet1!$BJ$383:$BL$383</c:f>
              <c:numCache>
                <c:formatCode>General</c:formatCode>
                <c:ptCount val="3"/>
                <c:pt idx="0">
                  <c:v>9.9364784614496759</c:v>
                </c:pt>
                <c:pt idx="1">
                  <c:v>9.7184404187079423</c:v>
                </c:pt>
                <c:pt idx="2">
                  <c:v>9.9915145764101005</c:v>
                </c:pt>
              </c:numCache>
            </c:numRef>
          </c:val>
        </c:ser>
        <c:marker val="1"/>
        <c:axId val="161846784"/>
        <c:axId val="161848320"/>
      </c:lineChart>
      <c:catAx>
        <c:axId val="161846784"/>
        <c:scaling>
          <c:orientation val="minMax"/>
        </c:scaling>
        <c:axPos val="b"/>
        <c:numFmt formatCode="General" sourceLinked="1"/>
        <c:tickLblPos val="nextTo"/>
        <c:crossAx val="161848320"/>
        <c:crosses val="autoZero"/>
        <c:auto val="1"/>
        <c:lblAlgn val="ctr"/>
        <c:lblOffset val="100"/>
      </c:catAx>
      <c:valAx>
        <c:axId val="161848320"/>
        <c:scaling>
          <c:orientation val="minMax"/>
        </c:scaling>
        <c:axPos val="l"/>
        <c:majorGridlines/>
        <c:title>
          <c:tx>
            <c:strRef>
              <c:f>Sheet1!$BI$384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846784"/>
        <c:crosses val="autoZero"/>
        <c:crossBetween val="between"/>
      </c:valAx>
    </c:plotArea>
    <c:legend>
      <c:legendPos val="r"/>
      <c:txPr>
        <a:bodyPr/>
        <a:lstStyle/>
        <a:p>
          <a:pPr>
            <a:defRPr sz="800"/>
          </a:pPr>
          <a:endParaRPr lang="en-US"/>
        </a:p>
      </c:txPr>
    </c:legend>
    <c:plotVisOnly val="1"/>
  </c:chart>
  <c:externalData r:id="rId1"/>
</c:chartSpace>
</file>

<file path=word/charts/chart60.xml><?xml version="1.0" encoding="utf-8"?>
<c:chartSpace xmlns:c="http://schemas.openxmlformats.org/drawingml/2006/chart" xmlns:a="http://schemas.openxmlformats.org/drawingml/2006/main" xmlns:r="http://schemas.openxmlformats.org/officeDocument/2006/relationships">
  <c:lang val="en-GB"/>
  <c:chart>
    <c:title>
      <c:tx>
        <c:strRef>
          <c:f>Sheet1!$C$575</c:f>
          <c:strCache>
            <c:ptCount val="1"/>
            <c:pt idx="0">
              <c:v>Motor vehicle traffic (vehicle miles) excluding trunk roads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Sheet1!$C$579</c:f>
              <c:strCache>
                <c:ptCount val="1"/>
                <c:pt idx="0">
                  <c:v>Essex</c:v>
                </c:pt>
              </c:strCache>
            </c:strRef>
          </c:tx>
          <c:spPr>
            <a:ln w="25400">
              <a:solidFill>
                <a:schemeClr val="tx1"/>
              </a:solidFill>
            </a:ln>
          </c:spPr>
          <c:marker>
            <c:symbol val="none"/>
          </c:marker>
          <c:cat>
            <c:numRef>
              <c:f>Sheet1!$D$575:$H$575</c:f>
              <c:numCache>
                <c:formatCode>General</c:formatCode>
                <c:ptCount val="5"/>
                <c:pt idx="0">
                  <c:v>2012</c:v>
                </c:pt>
                <c:pt idx="1">
                  <c:v>2013</c:v>
                </c:pt>
                <c:pt idx="2">
                  <c:v>2014</c:v>
                </c:pt>
                <c:pt idx="3">
                  <c:v>2015</c:v>
                </c:pt>
                <c:pt idx="4">
                  <c:v>2016</c:v>
                </c:pt>
              </c:numCache>
            </c:numRef>
          </c:cat>
          <c:val>
            <c:numRef>
              <c:f>Sheet1!$D$579:$H$579</c:f>
              <c:numCache>
                <c:formatCode>General</c:formatCode>
                <c:ptCount val="5"/>
                <c:pt idx="0">
                  <c:v>5480</c:v>
                </c:pt>
                <c:pt idx="1">
                  <c:v>5506</c:v>
                </c:pt>
                <c:pt idx="2">
                  <c:v>5735</c:v>
                </c:pt>
                <c:pt idx="3">
                  <c:v>5796</c:v>
                </c:pt>
                <c:pt idx="4">
                  <c:v>5948</c:v>
                </c:pt>
              </c:numCache>
            </c:numRef>
          </c:val>
        </c:ser>
        <c:marker val="1"/>
        <c:axId val="164391552"/>
        <c:axId val="164397440"/>
      </c:lineChart>
      <c:catAx>
        <c:axId val="164391552"/>
        <c:scaling>
          <c:orientation val="minMax"/>
        </c:scaling>
        <c:axPos val="b"/>
        <c:numFmt formatCode="General" sourceLinked="1"/>
        <c:tickLblPos val="nextTo"/>
        <c:crossAx val="164397440"/>
        <c:crosses val="autoZero"/>
        <c:auto val="1"/>
        <c:lblAlgn val="ctr"/>
        <c:lblOffset val="100"/>
      </c:catAx>
      <c:valAx>
        <c:axId val="164397440"/>
        <c:scaling>
          <c:orientation val="minMax"/>
        </c:scaling>
        <c:axPos val="l"/>
        <c:majorGridlines/>
        <c:title>
          <c:tx>
            <c:strRef>
              <c:f>Sheet1!$D$574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391552"/>
        <c:crosses val="autoZero"/>
        <c:crossBetween val="between"/>
      </c:valAx>
    </c:plotArea>
    <c:legend>
      <c:legendPos val="r"/>
      <c:txPr>
        <a:bodyPr/>
        <a:lstStyle/>
        <a:p>
          <a:pPr>
            <a:defRPr sz="900"/>
          </a:pPr>
          <a:endParaRPr lang="en-US"/>
        </a:p>
      </c:txPr>
    </c:legend>
    <c:plotVisOnly val="1"/>
  </c:chart>
  <c:externalData r:id="rId1"/>
</c:chartSpace>
</file>

<file path=word/charts/chart61.xml><?xml version="1.0" encoding="utf-8"?>
<c:chartSpace xmlns:c="http://schemas.openxmlformats.org/drawingml/2006/chart" xmlns:a="http://schemas.openxmlformats.org/drawingml/2006/main" xmlns:r="http://schemas.openxmlformats.org/officeDocument/2006/relationships">
  <c:lang val="en-GB"/>
  <c:chart>
    <c:title>
      <c:tx>
        <c:strRef>
          <c:f>Sheet1!$Q$575</c:f>
          <c:strCache>
            <c:ptCount val="1"/>
            <c:pt idx="0">
              <c:v>Motor vehicle traffic (vehicle miles per head of population) excluding trunk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Sheet1!$Q$579</c:f>
              <c:strCache>
                <c:ptCount val="1"/>
                <c:pt idx="0">
                  <c:v>Essex</c:v>
                </c:pt>
              </c:strCache>
            </c:strRef>
          </c:tx>
          <c:spPr>
            <a:solidFill>
              <a:schemeClr val="tx1"/>
            </a:solidFill>
          </c:spPr>
          <c:cat>
            <c:numRef>
              <c:f>Sheet1!$R$575:$V$575</c:f>
              <c:numCache>
                <c:formatCode>General</c:formatCode>
                <c:ptCount val="5"/>
                <c:pt idx="0">
                  <c:v>2012</c:v>
                </c:pt>
                <c:pt idx="1">
                  <c:v>2013</c:v>
                </c:pt>
                <c:pt idx="2">
                  <c:v>2014</c:v>
                </c:pt>
                <c:pt idx="3">
                  <c:v>2015</c:v>
                </c:pt>
                <c:pt idx="4">
                  <c:v>2016</c:v>
                </c:pt>
              </c:numCache>
            </c:numRef>
          </c:cat>
          <c:val>
            <c:numRef>
              <c:f>Sheet1!$R$579:$V$579</c:f>
              <c:numCache>
                <c:formatCode>General</c:formatCode>
                <c:ptCount val="5"/>
                <c:pt idx="0">
                  <c:v>3894.5791438179967</c:v>
                </c:pt>
                <c:pt idx="1">
                  <c:v>3884.0403048541348</c:v>
                </c:pt>
                <c:pt idx="2">
                  <c:v>4001.3060932879921</c:v>
                </c:pt>
                <c:pt idx="3">
                  <c:v>4010.1762720167048</c:v>
                </c:pt>
                <c:pt idx="4">
                  <c:v>4079.8128828254157</c:v>
                </c:pt>
              </c:numCache>
            </c:numRef>
          </c:val>
        </c:ser>
        <c:axId val="164502912"/>
        <c:axId val="164521088"/>
      </c:barChart>
      <c:lineChart>
        <c:grouping val="standard"/>
        <c:ser>
          <c:idx val="0"/>
          <c:order val="0"/>
          <c:tx>
            <c:strRef>
              <c:f>Sheet1!$Q$576</c:f>
              <c:strCache>
                <c:ptCount val="1"/>
                <c:pt idx="0">
                  <c:v>Predominantly Rural average</c:v>
                </c:pt>
              </c:strCache>
            </c:strRef>
          </c:tx>
          <c:spPr>
            <a:ln w="25400">
              <a:solidFill>
                <a:schemeClr val="bg1">
                  <a:lumMod val="75000"/>
                </a:schemeClr>
              </a:solidFill>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Sheet1!$R$576:$V$576</c:f>
              <c:numCache>
                <c:formatCode>General</c:formatCode>
                <c:ptCount val="5"/>
                <c:pt idx="0">
                  <c:v>4102.6645154709749</c:v>
                </c:pt>
                <c:pt idx="1">
                  <c:v>4121.7804862316871</c:v>
                </c:pt>
                <c:pt idx="2">
                  <c:v>4221.7991655041833</c:v>
                </c:pt>
                <c:pt idx="3">
                  <c:v>4268.627512078675</c:v>
                </c:pt>
                <c:pt idx="4">
                  <c:v>4337.3109184784007</c:v>
                </c:pt>
              </c:numCache>
            </c:numRef>
          </c:val>
        </c:ser>
        <c:ser>
          <c:idx val="1"/>
          <c:order val="1"/>
          <c:tx>
            <c:strRef>
              <c:f>Sheet1!$Q$577</c:f>
              <c:strCache>
                <c:ptCount val="1"/>
                <c:pt idx="0">
                  <c:v>Predominantly Urban average</c:v>
                </c:pt>
              </c:strCache>
            </c:strRef>
          </c:tx>
          <c:spPr>
            <a:ln w="25400">
              <a:solidFill>
                <a:schemeClr val="accent6">
                  <a:lumMod val="75000"/>
                </a:schemeClr>
              </a:solidFill>
              <a:prstDash val="sysDash"/>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Sheet1!$R$577:$V$577</c:f>
              <c:numCache>
                <c:formatCode>General</c:formatCode>
                <c:ptCount val="5"/>
                <c:pt idx="0">
                  <c:v>2792.2263514739789</c:v>
                </c:pt>
                <c:pt idx="1">
                  <c:v>2756.8786658849513</c:v>
                </c:pt>
                <c:pt idx="2">
                  <c:v>2795.5389954083462</c:v>
                </c:pt>
                <c:pt idx="3">
                  <c:v>2785.5360635117549</c:v>
                </c:pt>
                <c:pt idx="4">
                  <c:v>2808.6638029550281</c:v>
                </c:pt>
              </c:numCache>
            </c:numRef>
          </c:val>
        </c:ser>
        <c:ser>
          <c:idx val="2"/>
          <c:order val="2"/>
          <c:tx>
            <c:strRef>
              <c:f>Sheet1!$Q$578</c:f>
              <c:strCache>
                <c:ptCount val="1"/>
                <c:pt idx="0">
                  <c:v>Shire County average</c:v>
                </c:pt>
              </c:strCache>
            </c:strRef>
          </c:tx>
          <c:spPr>
            <a:ln w="25400">
              <a:solidFill>
                <a:schemeClr val="accent1">
                  <a:lumMod val="60000"/>
                  <a:lumOff val="40000"/>
                </a:schemeClr>
              </a:solidFill>
              <a:prstDash val="sysDot"/>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Sheet1!$R$578:$V$578</c:f>
              <c:numCache>
                <c:formatCode>General</c:formatCode>
                <c:ptCount val="5"/>
                <c:pt idx="0">
                  <c:v>3934.5431070564632</c:v>
                </c:pt>
                <c:pt idx="1">
                  <c:v>3927.085336250278</c:v>
                </c:pt>
                <c:pt idx="2">
                  <c:v>4021.7287470041797</c:v>
                </c:pt>
                <c:pt idx="3">
                  <c:v>4059.4860776963665</c:v>
                </c:pt>
                <c:pt idx="4">
                  <c:v>4117.3700216262332</c:v>
                </c:pt>
              </c:numCache>
            </c:numRef>
          </c:val>
        </c:ser>
        <c:marker val="1"/>
        <c:axId val="164502912"/>
        <c:axId val="164521088"/>
      </c:lineChart>
      <c:catAx>
        <c:axId val="164502912"/>
        <c:scaling>
          <c:orientation val="minMax"/>
        </c:scaling>
        <c:axPos val="b"/>
        <c:numFmt formatCode="General" sourceLinked="1"/>
        <c:tickLblPos val="nextTo"/>
        <c:crossAx val="164521088"/>
        <c:crosses val="autoZero"/>
        <c:auto val="1"/>
        <c:lblAlgn val="ctr"/>
        <c:lblOffset val="100"/>
      </c:catAx>
      <c:valAx>
        <c:axId val="164521088"/>
        <c:scaling>
          <c:orientation val="minMax"/>
        </c:scaling>
        <c:axPos val="l"/>
        <c:majorGridlines/>
        <c:title>
          <c:tx>
            <c:strRef>
              <c:f>Sheet1!$R$574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50291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2.xml><?xml version="1.0" encoding="utf-8"?>
<c:chartSpace xmlns:c="http://schemas.openxmlformats.org/drawingml/2006/chart" xmlns:a="http://schemas.openxmlformats.org/drawingml/2006/main" xmlns:r="http://schemas.openxmlformats.org/officeDocument/2006/relationships">
  <c:lang val="en-GB"/>
  <c:chart>
    <c:title>
      <c:tx>
        <c:strRef>
          <c:f>Sheet1!$C$775</c:f>
          <c:strCache>
            <c:ptCount val="1"/>
            <c:pt idx="0">
              <c:v>Motor Vehicle Flow, Annual Average Daily Flow</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Sheet1!$C$776</c:f>
              <c:strCache>
                <c:ptCount val="1"/>
                <c:pt idx="0">
                  <c:v>Predominantly Rural average</c:v>
                </c:pt>
              </c:strCache>
            </c:strRef>
          </c:tx>
          <c:spPr>
            <a:ln w="25400">
              <a:solidFill>
                <a:schemeClr val="bg1">
                  <a:lumMod val="75000"/>
                </a:schemeClr>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Sheet1!$D$776:$H$776</c:f>
              <c:numCache>
                <c:formatCode>General</c:formatCode>
                <c:ptCount val="5"/>
                <c:pt idx="0">
                  <c:v>2482.5</c:v>
                </c:pt>
                <c:pt idx="1">
                  <c:v>2517.3500000000013</c:v>
                </c:pt>
                <c:pt idx="2">
                  <c:v>2579.1999999999998</c:v>
                </c:pt>
                <c:pt idx="3">
                  <c:v>2643.65</c:v>
                </c:pt>
                <c:pt idx="4">
                  <c:v>2687.8500000000013</c:v>
                </c:pt>
              </c:numCache>
            </c:numRef>
          </c:val>
        </c:ser>
        <c:ser>
          <c:idx val="1"/>
          <c:order val="1"/>
          <c:tx>
            <c:strRef>
              <c:f>Sheet1!$C$777</c:f>
              <c:strCache>
                <c:ptCount val="1"/>
                <c:pt idx="0">
                  <c:v>Predominantly Urban average</c:v>
                </c:pt>
              </c:strCache>
            </c:strRef>
          </c:tx>
          <c:spPr>
            <a:ln w="25400">
              <a:solidFill>
                <a:schemeClr val="accent6">
                  <a:lumMod val="75000"/>
                </a:schemeClr>
              </a:solidFill>
              <a:prstDash val="sysDash"/>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Sheet1!$D$777:$H$777</c:f>
              <c:numCache>
                <c:formatCode>General</c:formatCode>
                <c:ptCount val="5"/>
                <c:pt idx="0">
                  <c:v>5085.8727272727274</c:v>
                </c:pt>
                <c:pt idx="1">
                  <c:v>5073.2363636363625</c:v>
                </c:pt>
                <c:pt idx="2">
                  <c:v>5177.0545454545454</c:v>
                </c:pt>
                <c:pt idx="3">
                  <c:v>5212.954545454545</c:v>
                </c:pt>
                <c:pt idx="4">
                  <c:v>5276.7454545454548</c:v>
                </c:pt>
              </c:numCache>
            </c:numRef>
          </c:val>
        </c:ser>
        <c:ser>
          <c:idx val="2"/>
          <c:order val="2"/>
          <c:tx>
            <c:strRef>
              <c:f>Sheet1!$C$778</c:f>
              <c:strCache>
                <c:ptCount val="1"/>
                <c:pt idx="0">
                  <c:v>Shire County average</c:v>
                </c:pt>
              </c:strCache>
            </c:strRef>
          </c:tx>
          <c:spPr>
            <a:ln w="25400">
              <a:solidFill>
                <a:schemeClr val="accent1">
                  <a:lumMod val="60000"/>
                  <a:lumOff val="40000"/>
                </a:schemeClr>
              </a:solidFill>
              <a:prstDash val="sysDot"/>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Sheet1!$D$778:$H$778</c:f>
              <c:numCache>
                <c:formatCode>General</c:formatCode>
                <c:ptCount val="5"/>
                <c:pt idx="0">
                  <c:v>3787.4074074074074</c:v>
                </c:pt>
                <c:pt idx="1">
                  <c:v>3813.5185185185205</c:v>
                </c:pt>
                <c:pt idx="2">
                  <c:v>3911.5555555555575</c:v>
                </c:pt>
                <c:pt idx="3">
                  <c:v>3990.2592592592591</c:v>
                </c:pt>
                <c:pt idx="4">
                  <c:v>4052.3703703703732</c:v>
                </c:pt>
              </c:numCache>
            </c:numRef>
          </c:val>
        </c:ser>
        <c:ser>
          <c:idx val="3"/>
          <c:order val="3"/>
          <c:tx>
            <c:strRef>
              <c:f>Sheet1!$C$779</c:f>
              <c:strCache>
                <c:ptCount val="1"/>
                <c:pt idx="0">
                  <c:v>Essex</c:v>
                </c:pt>
              </c:strCache>
            </c:strRef>
          </c:tx>
          <c:spPr>
            <a:ln w="25400">
              <a:solidFill>
                <a:schemeClr val="tx1"/>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Sheet1!$D$779:$H$779</c:f>
              <c:numCache>
                <c:formatCode>General</c:formatCode>
                <c:ptCount val="5"/>
                <c:pt idx="0">
                  <c:v>4545</c:v>
                </c:pt>
                <c:pt idx="1">
                  <c:v>4576</c:v>
                </c:pt>
                <c:pt idx="2">
                  <c:v>4756</c:v>
                </c:pt>
                <c:pt idx="3">
                  <c:v>4850</c:v>
                </c:pt>
                <c:pt idx="4">
                  <c:v>4963</c:v>
                </c:pt>
              </c:numCache>
            </c:numRef>
          </c:val>
        </c:ser>
        <c:marker val="1"/>
        <c:axId val="164552704"/>
        <c:axId val="164554240"/>
      </c:lineChart>
      <c:catAx>
        <c:axId val="164552704"/>
        <c:scaling>
          <c:orientation val="minMax"/>
        </c:scaling>
        <c:axPos val="b"/>
        <c:numFmt formatCode="General" sourceLinked="1"/>
        <c:tickLblPos val="nextTo"/>
        <c:crossAx val="164554240"/>
        <c:crosses val="autoZero"/>
        <c:auto val="1"/>
        <c:lblAlgn val="ctr"/>
        <c:lblOffset val="100"/>
      </c:catAx>
      <c:valAx>
        <c:axId val="164554240"/>
        <c:scaling>
          <c:orientation val="minMax"/>
        </c:scaling>
        <c:axPos val="l"/>
        <c:majorGridlines/>
        <c:title>
          <c:tx>
            <c:strRef>
              <c:f>Sheet1!$D$774</c:f>
              <c:strCache>
                <c:ptCount val="1"/>
                <c:pt idx="0">
                  <c:v> number of vehicles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552704"/>
        <c:crosses val="autoZero"/>
        <c:crossBetween val="between"/>
      </c:valAx>
    </c:plotArea>
    <c:legend>
      <c:legendPos val="r"/>
      <c:txPr>
        <a:bodyPr/>
        <a:lstStyle/>
        <a:p>
          <a:pPr>
            <a:defRPr sz="900"/>
          </a:pPr>
          <a:endParaRPr lang="en-US"/>
        </a:p>
      </c:txPr>
    </c:legend>
    <c:plotVisOnly val="1"/>
  </c:chart>
  <c:externalData r:id="rId1"/>
</c:chartSpace>
</file>

<file path=word/charts/chart63.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Principal (LA maintained 'A'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Sheet1!$C$180</c:f>
              <c:strCache>
                <c:ptCount val="1"/>
                <c:pt idx="0">
                  <c:v>Essex</c:v>
                </c:pt>
              </c:strCache>
            </c:strRef>
          </c:tx>
          <c:spPr>
            <a:solidFill>
              <a:schemeClr val="tx1"/>
            </a:solidFill>
          </c:spPr>
          <c:cat>
            <c:strRef>
              <c:f>Sheet1!$D$176:$H$176</c:f>
              <c:strCache>
                <c:ptCount val="5"/>
                <c:pt idx="0">
                  <c:v>2012/13</c:v>
                </c:pt>
                <c:pt idx="1">
                  <c:v>2013/14</c:v>
                </c:pt>
                <c:pt idx="2">
                  <c:v>2014/15</c:v>
                </c:pt>
                <c:pt idx="3">
                  <c:v>2015/16</c:v>
                </c:pt>
                <c:pt idx="4">
                  <c:v>2016/17</c:v>
                </c:pt>
              </c:strCache>
            </c:strRef>
          </c:cat>
          <c:val>
            <c:numRef>
              <c:f>Sheet1!$D$180:$H$180</c:f>
              <c:numCache>
                <c:formatCode>General</c:formatCode>
                <c:ptCount val="5"/>
                <c:pt idx="0">
                  <c:v>5</c:v>
                </c:pt>
                <c:pt idx="1">
                  <c:v>4</c:v>
                </c:pt>
                <c:pt idx="2">
                  <c:v>2</c:v>
                </c:pt>
                <c:pt idx="3">
                  <c:v>2</c:v>
                </c:pt>
                <c:pt idx="4">
                  <c:v>2</c:v>
                </c:pt>
              </c:numCache>
            </c:numRef>
          </c:val>
        </c:ser>
        <c:axId val="164619008"/>
        <c:axId val="164620544"/>
      </c:barChar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strRef>
              <c:f>Sheet1!$D$176:$H$176</c:f>
              <c:strCache>
                <c:ptCount val="5"/>
                <c:pt idx="0">
                  <c:v>2012/13</c:v>
                </c:pt>
                <c:pt idx="1">
                  <c:v>2013/14</c:v>
                </c:pt>
                <c:pt idx="2">
                  <c:v>2014/15</c:v>
                </c:pt>
                <c:pt idx="3">
                  <c:v>2015/16</c:v>
                </c:pt>
                <c:pt idx="4">
                  <c:v>2016/17</c:v>
                </c:pt>
              </c:strCache>
            </c:strRef>
          </c:cat>
          <c:val>
            <c:numRef>
              <c:f>Sheet1!$D$177:$H$177</c:f>
              <c:numCache>
                <c:formatCode>General</c:formatCode>
                <c:ptCount val="5"/>
                <c:pt idx="0">
                  <c:v>4.3157894736842106</c:v>
                </c:pt>
                <c:pt idx="1">
                  <c:v>3.6315789473684208</c:v>
                </c:pt>
                <c:pt idx="2">
                  <c:v>3.6</c:v>
                </c:pt>
                <c:pt idx="3">
                  <c:v>3.2</c:v>
                </c:pt>
                <c:pt idx="4">
                  <c:v>2.9499999999999997</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strRef>
              <c:f>Sheet1!$D$176:$H$176</c:f>
              <c:strCache>
                <c:ptCount val="5"/>
                <c:pt idx="0">
                  <c:v>2012/13</c:v>
                </c:pt>
                <c:pt idx="1">
                  <c:v>2013/14</c:v>
                </c:pt>
                <c:pt idx="2">
                  <c:v>2014/15</c:v>
                </c:pt>
                <c:pt idx="3">
                  <c:v>2015/16</c:v>
                </c:pt>
                <c:pt idx="4">
                  <c:v>2016/17</c:v>
                </c:pt>
              </c:strCache>
            </c:strRef>
          </c:cat>
          <c:val>
            <c:numRef>
              <c:f>Sheet1!$D$178:$H$178</c:f>
              <c:numCache>
                <c:formatCode>General</c:formatCode>
                <c:ptCount val="5"/>
                <c:pt idx="0">
                  <c:v>6.9711538461538476</c:v>
                </c:pt>
                <c:pt idx="1">
                  <c:v>7.0090909090909088</c:v>
                </c:pt>
                <c:pt idx="2">
                  <c:v>4.4090909090909092</c:v>
                </c:pt>
                <c:pt idx="3">
                  <c:v>4.1834862385321081</c:v>
                </c:pt>
                <c:pt idx="4">
                  <c:v>4.2568807339449544</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strRef>
              <c:f>Sheet1!$D$176:$H$176</c:f>
              <c:strCache>
                <c:ptCount val="5"/>
                <c:pt idx="0">
                  <c:v>2012/13</c:v>
                </c:pt>
                <c:pt idx="1">
                  <c:v>2013/14</c:v>
                </c:pt>
                <c:pt idx="2">
                  <c:v>2014/15</c:v>
                </c:pt>
                <c:pt idx="3">
                  <c:v>2015/16</c:v>
                </c:pt>
                <c:pt idx="4">
                  <c:v>2016/17</c:v>
                </c:pt>
              </c:strCache>
            </c:strRef>
          </c:cat>
          <c:val>
            <c:numRef>
              <c:f>Sheet1!$D$179:$H$179</c:f>
              <c:numCache>
                <c:formatCode>General</c:formatCode>
                <c:ptCount val="5"/>
                <c:pt idx="0">
                  <c:v>4.1111111111111107</c:v>
                </c:pt>
                <c:pt idx="1">
                  <c:v>3.925925925925926</c:v>
                </c:pt>
                <c:pt idx="2">
                  <c:v>3.2962962962962972</c:v>
                </c:pt>
                <c:pt idx="3">
                  <c:v>2.7037037037037042</c:v>
                </c:pt>
                <c:pt idx="4">
                  <c:v>2.8518518518518507</c:v>
                </c:pt>
              </c:numCache>
            </c:numRef>
          </c:val>
        </c:ser>
        <c:marker val="1"/>
        <c:axId val="164619008"/>
        <c:axId val="164620544"/>
      </c:lineChart>
      <c:catAx>
        <c:axId val="164619008"/>
        <c:scaling>
          <c:orientation val="minMax"/>
        </c:scaling>
        <c:axPos val="b"/>
        <c:tickLblPos val="nextTo"/>
        <c:crossAx val="164620544"/>
        <c:crosses val="autoZero"/>
        <c:auto val="1"/>
        <c:lblAlgn val="ctr"/>
        <c:lblOffset val="100"/>
      </c:catAx>
      <c:valAx>
        <c:axId val="164620544"/>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4619008"/>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4.xml><?xml version="1.0" encoding="utf-8"?>
<c:chartSpace xmlns:c="http://schemas.openxmlformats.org/drawingml/2006/chart" xmlns:a="http://schemas.openxmlformats.org/drawingml/2006/main" xmlns:r="http://schemas.openxmlformats.org/officeDocument/2006/relationships">
  <c:lang val="en-GB"/>
  <c:chart>
    <c:title>
      <c:tx>
        <c:strRef>
          <c:f>Sheet1!$J$176</c:f>
          <c:strCache>
            <c:ptCount val="1"/>
            <c:pt idx="0">
              <c:v>Non-principal (LA maintained 'B' and 'C'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Sheet1!$J$180</c:f>
              <c:strCache>
                <c:ptCount val="1"/>
                <c:pt idx="0">
                  <c:v>Essex</c:v>
                </c:pt>
              </c:strCache>
            </c:strRef>
          </c:tx>
          <c:spPr>
            <a:solidFill>
              <a:schemeClr val="tx1"/>
            </a:solidFill>
          </c:spPr>
          <c:cat>
            <c:strRef>
              <c:f>Sheet1!$K$176:$O$176</c:f>
              <c:strCache>
                <c:ptCount val="5"/>
                <c:pt idx="0">
                  <c:v>2012/13</c:v>
                </c:pt>
                <c:pt idx="1">
                  <c:v>2013/14</c:v>
                </c:pt>
                <c:pt idx="2">
                  <c:v>2014/15</c:v>
                </c:pt>
                <c:pt idx="3">
                  <c:v>2015/16</c:v>
                </c:pt>
                <c:pt idx="4">
                  <c:v>2016/17</c:v>
                </c:pt>
              </c:strCache>
            </c:strRef>
          </c:cat>
          <c:val>
            <c:numRef>
              <c:f>Sheet1!$K$180:$O$180</c:f>
              <c:numCache>
                <c:formatCode>General</c:formatCode>
                <c:ptCount val="5"/>
                <c:pt idx="0">
                  <c:v>7</c:v>
                </c:pt>
                <c:pt idx="1">
                  <c:v>5</c:v>
                </c:pt>
                <c:pt idx="2">
                  <c:v>4</c:v>
                </c:pt>
                <c:pt idx="3">
                  <c:v>4</c:v>
                </c:pt>
                <c:pt idx="4">
                  <c:v>3</c:v>
                </c:pt>
              </c:numCache>
            </c:numRef>
          </c:val>
        </c:ser>
        <c:axId val="164660736"/>
        <c:axId val="164662272"/>
      </c:barChart>
      <c:lineChart>
        <c:grouping val="standard"/>
        <c:ser>
          <c:idx val="0"/>
          <c:order val="0"/>
          <c:tx>
            <c:strRef>
              <c:f>Sheet1!$J$177</c:f>
              <c:strCache>
                <c:ptCount val="1"/>
                <c:pt idx="0">
                  <c:v>Predominantly Rural average</c:v>
                </c:pt>
              </c:strCache>
            </c:strRef>
          </c:tx>
          <c:spPr>
            <a:ln w="25400">
              <a:solidFill>
                <a:schemeClr val="bg1">
                  <a:lumMod val="75000"/>
                </a:schemeClr>
              </a:solidFill>
            </a:ln>
          </c:spPr>
          <c:marker>
            <c:symbol val="none"/>
          </c:marker>
          <c:cat>
            <c:strRef>
              <c:f>Sheet1!$K$176:$O$176</c:f>
              <c:strCache>
                <c:ptCount val="5"/>
                <c:pt idx="0">
                  <c:v>2012/13</c:v>
                </c:pt>
                <c:pt idx="1">
                  <c:v>2013/14</c:v>
                </c:pt>
                <c:pt idx="2">
                  <c:v>2014/15</c:v>
                </c:pt>
                <c:pt idx="3">
                  <c:v>2015/16</c:v>
                </c:pt>
                <c:pt idx="4">
                  <c:v>2016/17</c:v>
                </c:pt>
              </c:strCache>
            </c:strRef>
          </c:cat>
          <c:val>
            <c:numRef>
              <c:f>Sheet1!$K$177:$O$177</c:f>
              <c:numCache>
                <c:formatCode>General</c:formatCode>
                <c:ptCount val="5"/>
                <c:pt idx="0">
                  <c:v>9.5555555555555589</c:v>
                </c:pt>
                <c:pt idx="1">
                  <c:v>8.3684210526315752</c:v>
                </c:pt>
                <c:pt idx="2">
                  <c:v>7.6499999999999995</c:v>
                </c:pt>
                <c:pt idx="3">
                  <c:v>6.4</c:v>
                </c:pt>
                <c:pt idx="4">
                  <c:v>6.4</c:v>
                </c:pt>
              </c:numCache>
            </c:numRef>
          </c:val>
        </c:ser>
        <c:ser>
          <c:idx val="1"/>
          <c:order val="1"/>
          <c:tx>
            <c:strRef>
              <c:f>Sheet1!$J$178</c:f>
              <c:strCache>
                <c:ptCount val="1"/>
                <c:pt idx="0">
                  <c:v>Predominantly Urban average</c:v>
                </c:pt>
              </c:strCache>
            </c:strRef>
          </c:tx>
          <c:spPr>
            <a:ln w="25400">
              <a:solidFill>
                <a:schemeClr val="accent6">
                  <a:lumMod val="75000"/>
                </a:schemeClr>
              </a:solidFill>
              <a:prstDash val="sysDash"/>
            </a:ln>
          </c:spPr>
          <c:marker>
            <c:symbol val="none"/>
          </c:marker>
          <c:cat>
            <c:strRef>
              <c:f>Sheet1!$K$176:$O$176</c:f>
              <c:strCache>
                <c:ptCount val="5"/>
                <c:pt idx="0">
                  <c:v>2012/13</c:v>
                </c:pt>
                <c:pt idx="1">
                  <c:v>2013/14</c:v>
                </c:pt>
                <c:pt idx="2">
                  <c:v>2014/15</c:v>
                </c:pt>
                <c:pt idx="3">
                  <c:v>2015/16</c:v>
                </c:pt>
                <c:pt idx="4">
                  <c:v>2016/17</c:v>
                </c:pt>
              </c:strCache>
            </c:strRef>
          </c:cat>
          <c:val>
            <c:numRef>
              <c:f>Sheet1!$K$178:$O$178</c:f>
              <c:numCache>
                <c:formatCode>General</c:formatCode>
                <c:ptCount val="5"/>
                <c:pt idx="0">
                  <c:v>8.1809523809523768</c:v>
                </c:pt>
                <c:pt idx="1">
                  <c:v>7.8909090909090907</c:v>
                </c:pt>
                <c:pt idx="2">
                  <c:v>6.4587155963302756</c:v>
                </c:pt>
                <c:pt idx="3">
                  <c:v>4.6238532110091741</c:v>
                </c:pt>
                <c:pt idx="4">
                  <c:v>4.5462962962962967</c:v>
                </c:pt>
              </c:numCache>
            </c:numRef>
          </c:val>
        </c:ser>
        <c:ser>
          <c:idx val="2"/>
          <c:order val="2"/>
          <c:tx>
            <c:strRef>
              <c:f>Sheet1!$J$179</c:f>
              <c:strCache>
                <c:ptCount val="1"/>
                <c:pt idx="0">
                  <c:v>Shire County average</c:v>
                </c:pt>
              </c:strCache>
            </c:strRef>
          </c:tx>
          <c:spPr>
            <a:ln w="25400">
              <a:solidFill>
                <a:schemeClr val="accent1">
                  <a:lumMod val="60000"/>
                  <a:lumOff val="40000"/>
                </a:schemeClr>
              </a:solidFill>
              <a:prstDash val="sysDot"/>
            </a:ln>
          </c:spPr>
          <c:marker>
            <c:symbol val="none"/>
          </c:marker>
          <c:cat>
            <c:strRef>
              <c:f>Sheet1!$K$176:$O$176</c:f>
              <c:strCache>
                <c:ptCount val="5"/>
                <c:pt idx="0">
                  <c:v>2012/13</c:v>
                </c:pt>
                <c:pt idx="1">
                  <c:v>2013/14</c:v>
                </c:pt>
                <c:pt idx="2">
                  <c:v>2014/15</c:v>
                </c:pt>
                <c:pt idx="3">
                  <c:v>2015/16</c:v>
                </c:pt>
                <c:pt idx="4">
                  <c:v>2016/17</c:v>
                </c:pt>
              </c:strCache>
            </c:strRef>
          </c:cat>
          <c:val>
            <c:numRef>
              <c:f>Sheet1!$K$179:$O$179</c:f>
              <c:numCache>
                <c:formatCode>General</c:formatCode>
                <c:ptCount val="5"/>
                <c:pt idx="0">
                  <c:v>9.8461538461538449</c:v>
                </c:pt>
                <c:pt idx="1">
                  <c:v>8.3333333333333357</c:v>
                </c:pt>
                <c:pt idx="2">
                  <c:v>6.666666666666667</c:v>
                </c:pt>
                <c:pt idx="3">
                  <c:v>5.1851851851851851</c:v>
                </c:pt>
                <c:pt idx="4">
                  <c:v>5.4615384615384617</c:v>
                </c:pt>
              </c:numCache>
            </c:numRef>
          </c:val>
        </c:ser>
        <c:marker val="1"/>
        <c:axId val="164660736"/>
        <c:axId val="164662272"/>
      </c:lineChart>
      <c:catAx>
        <c:axId val="164660736"/>
        <c:scaling>
          <c:orientation val="minMax"/>
        </c:scaling>
        <c:axPos val="b"/>
        <c:tickLblPos val="nextTo"/>
        <c:crossAx val="164662272"/>
        <c:crosses val="autoZero"/>
        <c:auto val="1"/>
        <c:lblAlgn val="ctr"/>
        <c:lblOffset val="100"/>
      </c:catAx>
      <c:valAx>
        <c:axId val="164662272"/>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4660736"/>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5.xml><?xml version="1.0" encoding="utf-8"?>
<c:chartSpace xmlns:c="http://schemas.openxmlformats.org/drawingml/2006/chart" xmlns:a="http://schemas.openxmlformats.org/drawingml/2006/main" xmlns:r="http://schemas.openxmlformats.org/officeDocument/2006/relationships">
  <c:lang val="en-GB"/>
  <c:chart>
    <c:title>
      <c:tx>
        <c:strRef>
          <c:f>Sheet1!$C$555</c:f>
          <c:strCache>
            <c:ptCount val="1"/>
            <c:pt idx="0">
              <c:v>Unclassified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Sheet1!$C$559</c:f>
              <c:strCache>
                <c:ptCount val="1"/>
                <c:pt idx="0">
                  <c:v>Essex</c:v>
                </c:pt>
              </c:strCache>
            </c:strRef>
          </c:tx>
          <c:spPr>
            <a:solidFill>
              <a:schemeClr val="tx1"/>
            </a:solidFill>
          </c:spPr>
          <c:cat>
            <c:strRef>
              <c:f>Sheet1!$D$555:$H$555</c:f>
              <c:strCache>
                <c:ptCount val="5"/>
                <c:pt idx="0">
                  <c:v>2012/13</c:v>
                </c:pt>
                <c:pt idx="1">
                  <c:v>2013/14</c:v>
                </c:pt>
                <c:pt idx="2">
                  <c:v>2014/15</c:v>
                </c:pt>
                <c:pt idx="3">
                  <c:v>2015/16</c:v>
                </c:pt>
                <c:pt idx="4">
                  <c:v>2016/17</c:v>
                </c:pt>
              </c:strCache>
            </c:strRef>
          </c:cat>
          <c:val>
            <c:numRef>
              <c:f>Sheet1!$D$559:$H$559</c:f>
              <c:numCache>
                <c:formatCode>General</c:formatCode>
                <c:ptCount val="5"/>
                <c:pt idx="0">
                  <c:v>19</c:v>
                </c:pt>
                <c:pt idx="1">
                  <c:v>25</c:v>
                </c:pt>
                <c:pt idx="2">
                  <c:v>12</c:v>
                </c:pt>
                <c:pt idx="3">
                  <c:v>12</c:v>
                </c:pt>
                <c:pt idx="4">
                  <c:v>11</c:v>
                </c:pt>
              </c:numCache>
            </c:numRef>
          </c:val>
        </c:ser>
        <c:axId val="164703232"/>
        <c:axId val="164705024"/>
      </c:barChart>
      <c:lineChart>
        <c:grouping val="standard"/>
        <c:ser>
          <c:idx val="0"/>
          <c:order val="0"/>
          <c:tx>
            <c:strRef>
              <c:f>Sheet1!$C$556</c:f>
              <c:strCache>
                <c:ptCount val="1"/>
                <c:pt idx="0">
                  <c:v>Predominantly Rural average</c:v>
                </c:pt>
              </c:strCache>
            </c:strRef>
          </c:tx>
          <c:spPr>
            <a:ln w="25400">
              <a:solidFill>
                <a:schemeClr val="bg1">
                  <a:lumMod val="75000"/>
                </a:schemeClr>
              </a:solidFill>
            </a:ln>
          </c:spPr>
          <c:marker>
            <c:symbol val="none"/>
          </c:marker>
          <c:cat>
            <c:strRef>
              <c:f>Sheet1!$D$555:$H$555</c:f>
              <c:strCache>
                <c:ptCount val="5"/>
                <c:pt idx="0">
                  <c:v>2012/13</c:v>
                </c:pt>
                <c:pt idx="1">
                  <c:v>2013/14</c:v>
                </c:pt>
                <c:pt idx="2">
                  <c:v>2014/15</c:v>
                </c:pt>
                <c:pt idx="3">
                  <c:v>2015/16</c:v>
                </c:pt>
                <c:pt idx="4">
                  <c:v>2016/17</c:v>
                </c:pt>
              </c:strCache>
            </c:strRef>
          </c:cat>
          <c:val>
            <c:numRef>
              <c:f>Sheet1!$D$556:$H$556</c:f>
              <c:numCache>
                <c:formatCode>General</c:formatCode>
                <c:ptCount val="5"/>
                <c:pt idx="0">
                  <c:v>18</c:v>
                </c:pt>
                <c:pt idx="1">
                  <c:v>19.473684210526301</c:v>
                </c:pt>
                <c:pt idx="2">
                  <c:v>19.15789473684212</c:v>
                </c:pt>
                <c:pt idx="3">
                  <c:v>18.111111111111118</c:v>
                </c:pt>
                <c:pt idx="4">
                  <c:v>17.470588235294116</c:v>
                </c:pt>
              </c:numCache>
            </c:numRef>
          </c:val>
        </c:ser>
        <c:ser>
          <c:idx val="1"/>
          <c:order val="1"/>
          <c:tx>
            <c:strRef>
              <c:f>Sheet1!$C$557</c:f>
              <c:strCache>
                <c:ptCount val="1"/>
                <c:pt idx="0">
                  <c:v>Predominantly Urban average</c:v>
                </c:pt>
              </c:strCache>
            </c:strRef>
          </c:tx>
          <c:spPr>
            <a:ln w="25400">
              <a:solidFill>
                <a:schemeClr val="accent6">
                  <a:lumMod val="75000"/>
                </a:schemeClr>
              </a:solidFill>
              <a:prstDash val="sysDash"/>
            </a:ln>
          </c:spPr>
          <c:marker>
            <c:symbol val="none"/>
          </c:marker>
          <c:cat>
            <c:strRef>
              <c:f>Sheet1!$D$555:$H$555</c:f>
              <c:strCache>
                <c:ptCount val="5"/>
                <c:pt idx="0">
                  <c:v>2012/13</c:v>
                </c:pt>
                <c:pt idx="1">
                  <c:v>2013/14</c:v>
                </c:pt>
                <c:pt idx="2">
                  <c:v>2014/15</c:v>
                </c:pt>
                <c:pt idx="3">
                  <c:v>2015/16</c:v>
                </c:pt>
                <c:pt idx="4">
                  <c:v>2016/17</c:v>
                </c:pt>
              </c:strCache>
            </c:strRef>
          </c:cat>
          <c:val>
            <c:numRef>
              <c:f>Sheet1!$D$557:$H$557</c:f>
              <c:numCache>
                <c:formatCode>General</c:formatCode>
                <c:ptCount val="5"/>
                <c:pt idx="0">
                  <c:v>16.844444444444445</c:v>
                </c:pt>
                <c:pt idx="1">
                  <c:v>16.204301075268816</c:v>
                </c:pt>
                <c:pt idx="2">
                  <c:v>16.051020408163257</c:v>
                </c:pt>
                <c:pt idx="3">
                  <c:v>15.255555555555556</c:v>
                </c:pt>
                <c:pt idx="4">
                  <c:v>15.172043010752692</c:v>
                </c:pt>
              </c:numCache>
            </c:numRef>
          </c:val>
        </c:ser>
        <c:ser>
          <c:idx val="2"/>
          <c:order val="2"/>
          <c:tx>
            <c:strRef>
              <c:f>Sheet1!$C$558</c:f>
              <c:strCache>
                <c:ptCount val="1"/>
                <c:pt idx="0">
                  <c:v>Shire County average</c:v>
                </c:pt>
              </c:strCache>
            </c:strRef>
          </c:tx>
          <c:spPr>
            <a:ln w="25400">
              <a:solidFill>
                <a:schemeClr val="accent1">
                  <a:lumMod val="60000"/>
                  <a:lumOff val="40000"/>
                </a:schemeClr>
              </a:solidFill>
              <a:prstDash val="sysDot"/>
            </a:ln>
          </c:spPr>
          <c:marker>
            <c:symbol val="none"/>
          </c:marker>
          <c:cat>
            <c:strRef>
              <c:f>Sheet1!$D$555:$H$555</c:f>
              <c:strCache>
                <c:ptCount val="5"/>
                <c:pt idx="0">
                  <c:v>2012/13</c:v>
                </c:pt>
                <c:pt idx="1">
                  <c:v>2013/14</c:v>
                </c:pt>
                <c:pt idx="2">
                  <c:v>2014/15</c:v>
                </c:pt>
                <c:pt idx="3">
                  <c:v>2015/16</c:v>
                </c:pt>
                <c:pt idx="4">
                  <c:v>2016/17</c:v>
                </c:pt>
              </c:strCache>
            </c:strRef>
          </c:cat>
          <c:val>
            <c:numRef>
              <c:f>Sheet1!$D$558:$H$558</c:f>
              <c:numCache>
                <c:formatCode>General</c:formatCode>
                <c:ptCount val="5"/>
                <c:pt idx="0">
                  <c:v>19.64</c:v>
                </c:pt>
                <c:pt idx="1">
                  <c:v>20.52</c:v>
                </c:pt>
                <c:pt idx="2">
                  <c:v>19.65384615384616</c:v>
                </c:pt>
                <c:pt idx="3">
                  <c:v>17.8</c:v>
                </c:pt>
                <c:pt idx="4">
                  <c:v>18.923076923076923</c:v>
                </c:pt>
              </c:numCache>
            </c:numRef>
          </c:val>
        </c:ser>
        <c:marker val="1"/>
        <c:axId val="164703232"/>
        <c:axId val="164705024"/>
      </c:lineChart>
      <c:catAx>
        <c:axId val="164703232"/>
        <c:scaling>
          <c:orientation val="minMax"/>
        </c:scaling>
        <c:axPos val="b"/>
        <c:tickLblPos val="nextTo"/>
        <c:crossAx val="164705024"/>
        <c:crosses val="autoZero"/>
        <c:auto val="1"/>
        <c:lblAlgn val="ctr"/>
        <c:lblOffset val="100"/>
      </c:catAx>
      <c:valAx>
        <c:axId val="164705024"/>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470323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Average speed on local 'A' roads</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numRef>
              <c:f>Sheet1!$D$176:$F$176</c:f>
              <c:numCache>
                <c:formatCode>General</c:formatCode>
                <c:ptCount val="3"/>
                <c:pt idx="0">
                  <c:v>2015</c:v>
                </c:pt>
                <c:pt idx="1">
                  <c:v>2016</c:v>
                </c:pt>
                <c:pt idx="2">
                  <c:v>2017</c:v>
                </c:pt>
              </c:numCache>
            </c:numRef>
          </c:cat>
          <c:val>
            <c:numRef>
              <c:f>Sheet1!$D$177:$F$177</c:f>
              <c:numCache>
                <c:formatCode>General</c:formatCode>
                <c:ptCount val="3"/>
                <c:pt idx="0">
                  <c:v>33.685000000000002</c:v>
                </c:pt>
                <c:pt idx="1">
                  <c:v>33.280000000000008</c:v>
                </c:pt>
                <c:pt idx="2">
                  <c:v>33.260000000000012</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numRef>
              <c:f>Sheet1!$D$176:$F$176</c:f>
              <c:numCache>
                <c:formatCode>General</c:formatCode>
                <c:ptCount val="3"/>
                <c:pt idx="0">
                  <c:v>2015</c:v>
                </c:pt>
                <c:pt idx="1">
                  <c:v>2016</c:v>
                </c:pt>
                <c:pt idx="2">
                  <c:v>2017</c:v>
                </c:pt>
              </c:numCache>
            </c:numRef>
          </c:cat>
          <c:val>
            <c:numRef>
              <c:f>Sheet1!$D$178:$F$178</c:f>
              <c:numCache>
                <c:formatCode>General</c:formatCode>
                <c:ptCount val="3"/>
                <c:pt idx="0">
                  <c:v>21.599999999999991</c:v>
                </c:pt>
                <c:pt idx="1">
                  <c:v>21.330000000000005</c:v>
                </c:pt>
                <c:pt idx="2">
                  <c:v>21.235454545454541</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numRef>
              <c:f>Sheet1!$D$176:$F$176</c:f>
              <c:numCache>
                <c:formatCode>General</c:formatCode>
                <c:ptCount val="3"/>
                <c:pt idx="0">
                  <c:v>2015</c:v>
                </c:pt>
                <c:pt idx="1">
                  <c:v>2016</c:v>
                </c:pt>
                <c:pt idx="2">
                  <c:v>2017</c:v>
                </c:pt>
              </c:numCache>
            </c:numRef>
          </c:cat>
          <c:val>
            <c:numRef>
              <c:f>Sheet1!$D$179:$F$179</c:f>
              <c:numCache>
                <c:formatCode>General</c:formatCode>
                <c:ptCount val="3"/>
                <c:pt idx="0">
                  <c:v>31.277777777777779</c:v>
                </c:pt>
                <c:pt idx="1">
                  <c:v>30.903703703703698</c:v>
                </c:pt>
                <c:pt idx="2">
                  <c:v>30.822222222222219</c:v>
                </c:pt>
              </c:numCache>
            </c:numRef>
          </c:val>
        </c:ser>
        <c:ser>
          <c:idx val="3"/>
          <c:order val="3"/>
          <c:tx>
            <c:strRef>
              <c:f>Sheet1!$C$180</c:f>
              <c:strCache>
                <c:ptCount val="1"/>
                <c:pt idx="0">
                  <c:v>Essex</c:v>
                </c:pt>
              </c:strCache>
            </c:strRef>
          </c:tx>
          <c:spPr>
            <a:ln w="25400">
              <a:solidFill>
                <a:schemeClr val="tx1"/>
              </a:solidFill>
            </a:ln>
          </c:spPr>
          <c:marker>
            <c:symbol val="none"/>
          </c:marker>
          <c:cat>
            <c:numRef>
              <c:f>Sheet1!$D$176:$F$176</c:f>
              <c:numCache>
                <c:formatCode>General</c:formatCode>
                <c:ptCount val="3"/>
                <c:pt idx="0">
                  <c:v>2015</c:v>
                </c:pt>
                <c:pt idx="1">
                  <c:v>2016</c:v>
                </c:pt>
                <c:pt idx="2">
                  <c:v>2017</c:v>
                </c:pt>
              </c:numCache>
            </c:numRef>
          </c:cat>
          <c:val>
            <c:numRef>
              <c:f>Sheet1!$D$180:$F$180</c:f>
              <c:numCache>
                <c:formatCode>General</c:formatCode>
                <c:ptCount val="3"/>
                <c:pt idx="0">
                  <c:v>32.200000000000003</c:v>
                </c:pt>
                <c:pt idx="1">
                  <c:v>31.5</c:v>
                </c:pt>
                <c:pt idx="2">
                  <c:v>31.2</c:v>
                </c:pt>
              </c:numCache>
            </c:numRef>
          </c:val>
        </c:ser>
        <c:marker val="1"/>
        <c:axId val="164756480"/>
        <c:axId val="164762368"/>
      </c:lineChart>
      <c:catAx>
        <c:axId val="164756480"/>
        <c:scaling>
          <c:orientation val="minMax"/>
        </c:scaling>
        <c:axPos val="b"/>
        <c:numFmt formatCode="General" sourceLinked="1"/>
        <c:tickLblPos val="nextTo"/>
        <c:crossAx val="164762368"/>
        <c:crosses val="autoZero"/>
        <c:auto val="1"/>
        <c:lblAlgn val="ctr"/>
        <c:lblOffset val="100"/>
      </c:catAx>
      <c:valAx>
        <c:axId val="164762368"/>
        <c:scaling>
          <c:orientation val="minMax"/>
        </c:scaling>
        <c:axPos val="l"/>
        <c:majorGridlines/>
        <c:title>
          <c:tx>
            <c:strRef>
              <c:f>Sheet1!$C$181</c:f>
              <c:strCache>
                <c:ptCount val="1"/>
                <c:pt idx="0">
                  <c:v>mph</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756480"/>
        <c:crosses val="autoZero"/>
        <c:crossBetween val="between"/>
      </c:valAx>
    </c:plotArea>
    <c:legend>
      <c:legendPos val="r"/>
      <c:txPr>
        <a:bodyPr/>
        <a:lstStyle/>
        <a:p>
          <a:pPr>
            <a:defRPr sz="900"/>
          </a:pPr>
          <a:endParaRPr lang="en-US"/>
        </a:p>
      </c:txPr>
    </c:legend>
    <c:plotVisOnly val="1"/>
  </c:chart>
  <c:externalData r:id="rId1"/>
</c:chartSpace>
</file>

<file path=word/charts/chart67.xml><?xml version="1.0" encoding="utf-8"?>
<c:chartSpace xmlns:c="http://schemas.openxmlformats.org/drawingml/2006/chart" xmlns:a="http://schemas.openxmlformats.org/drawingml/2006/main" xmlns:r="http://schemas.openxmlformats.org/officeDocument/2006/relationships">
  <c:lang val="en-GB"/>
  <c:chart>
    <c:title>
      <c:tx>
        <c:strRef>
          <c:f>Sheet1!$C$376</c:f>
          <c:strCache>
            <c:ptCount val="1"/>
            <c:pt idx="0">
              <c:v>Average delay on locally managed 'A' roads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Sheet1!$C$377</c:f>
              <c:strCache>
                <c:ptCount val="1"/>
                <c:pt idx="0">
                  <c:v>Predominantly Rural average</c:v>
                </c:pt>
              </c:strCache>
            </c:strRef>
          </c:tx>
          <c:spPr>
            <a:ln w="25400">
              <a:solidFill>
                <a:schemeClr val="bg1">
                  <a:lumMod val="75000"/>
                </a:schemeClr>
              </a:solidFill>
            </a:ln>
          </c:spPr>
          <c:marker>
            <c:symbol val="none"/>
          </c:marker>
          <c:cat>
            <c:numRef>
              <c:f>Sheet1!$D$376:$F$376</c:f>
              <c:numCache>
                <c:formatCode>General</c:formatCode>
                <c:ptCount val="3"/>
                <c:pt idx="0">
                  <c:v>2015</c:v>
                </c:pt>
                <c:pt idx="1">
                  <c:v>2016</c:v>
                </c:pt>
                <c:pt idx="2">
                  <c:v>2017</c:v>
                </c:pt>
              </c:numCache>
            </c:numRef>
          </c:cat>
          <c:val>
            <c:numRef>
              <c:f>Sheet1!$D$377:$F$377</c:f>
              <c:numCache>
                <c:formatCode>General</c:formatCode>
                <c:ptCount val="3"/>
                <c:pt idx="0">
                  <c:v>23.214999999999996</c:v>
                </c:pt>
                <c:pt idx="1">
                  <c:v>23.964999999999996</c:v>
                </c:pt>
                <c:pt idx="2">
                  <c:v>24.619999999999997</c:v>
                </c:pt>
              </c:numCache>
            </c:numRef>
          </c:val>
        </c:ser>
        <c:ser>
          <c:idx val="1"/>
          <c:order val="1"/>
          <c:tx>
            <c:strRef>
              <c:f>Sheet1!$C$378</c:f>
              <c:strCache>
                <c:ptCount val="1"/>
                <c:pt idx="0">
                  <c:v>Predominantly Urban average</c:v>
                </c:pt>
              </c:strCache>
            </c:strRef>
          </c:tx>
          <c:spPr>
            <a:ln w="25400">
              <a:solidFill>
                <a:schemeClr val="accent6">
                  <a:lumMod val="75000"/>
                </a:schemeClr>
              </a:solidFill>
              <a:prstDash val="sysDash"/>
            </a:ln>
          </c:spPr>
          <c:marker>
            <c:symbol val="none"/>
          </c:marker>
          <c:cat>
            <c:numRef>
              <c:f>Sheet1!$D$376:$F$376</c:f>
              <c:numCache>
                <c:formatCode>General</c:formatCode>
                <c:ptCount val="3"/>
                <c:pt idx="0">
                  <c:v>2015</c:v>
                </c:pt>
                <c:pt idx="1">
                  <c:v>2016</c:v>
                </c:pt>
                <c:pt idx="2">
                  <c:v>2017</c:v>
                </c:pt>
              </c:numCache>
            </c:numRef>
          </c:cat>
          <c:val>
            <c:numRef>
              <c:f>Sheet1!$D$378:$F$378</c:f>
              <c:numCache>
                <c:formatCode>General</c:formatCode>
                <c:ptCount val="3"/>
                <c:pt idx="0">
                  <c:v>71.713636363636368</c:v>
                </c:pt>
                <c:pt idx="1">
                  <c:v>74.109090909090909</c:v>
                </c:pt>
                <c:pt idx="2">
                  <c:v>75.254545454545465</c:v>
                </c:pt>
              </c:numCache>
            </c:numRef>
          </c:val>
        </c:ser>
        <c:ser>
          <c:idx val="2"/>
          <c:order val="2"/>
          <c:tx>
            <c:strRef>
              <c:f>Sheet1!$C$379</c:f>
              <c:strCache>
                <c:ptCount val="1"/>
                <c:pt idx="0">
                  <c:v>Shire County average</c:v>
                </c:pt>
              </c:strCache>
            </c:strRef>
          </c:tx>
          <c:spPr>
            <a:ln w="25400">
              <a:solidFill>
                <a:schemeClr val="accent1">
                  <a:lumMod val="60000"/>
                  <a:lumOff val="40000"/>
                </a:schemeClr>
              </a:solidFill>
              <a:prstDash val="sysDot"/>
            </a:ln>
          </c:spPr>
          <c:marker>
            <c:symbol val="none"/>
          </c:marker>
          <c:cat>
            <c:numRef>
              <c:f>Sheet1!$D$376:$F$376</c:f>
              <c:numCache>
                <c:formatCode>General</c:formatCode>
                <c:ptCount val="3"/>
                <c:pt idx="0">
                  <c:v>2015</c:v>
                </c:pt>
                <c:pt idx="1">
                  <c:v>2016</c:v>
                </c:pt>
                <c:pt idx="2">
                  <c:v>2017</c:v>
                </c:pt>
              </c:numCache>
            </c:numRef>
          </c:cat>
          <c:val>
            <c:numRef>
              <c:f>Sheet1!$D$379:$F$379</c:f>
              <c:numCache>
                <c:formatCode>General</c:formatCode>
                <c:ptCount val="3"/>
                <c:pt idx="0">
                  <c:v>28.485185185185177</c:v>
                </c:pt>
                <c:pt idx="1">
                  <c:v>29.448148148148146</c:v>
                </c:pt>
                <c:pt idx="2">
                  <c:v>30.425925925925917</c:v>
                </c:pt>
              </c:numCache>
            </c:numRef>
          </c:val>
        </c:ser>
        <c:ser>
          <c:idx val="3"/>
          <c:order val="3"/>
          <c:tx>
            <c:strRef>
              <c:f>Sheet1!$C$380</c:f>
              <c:strCache>
                <c:ptCount val="1"/>
                <c:pt idx="0">
                  <c:v>Essex</c:v>
                </c:pt>
              </c:strCache>
            </c:strRef>
          </c:tx>
          <c:spPr>
            <a:ln w="25400">
              <a:solidFill>
                <a:schemeClr val="tx1"/>
              </a:solidFill>
            </a:ln>
          </c:spPr>
          <c:marker>
            <c:symbol val="none"/>
          </c:marker>
          <c:cat>
            <c:numRef>
              <c:f>Sheet1!$D$376:$F$376</c:f>
              <c:numCache>
                <c:formatCode>General</c:formatCode>
                <c:ptCount val="3"/>
                <c:pt idx="0">
                  <c:v>2015</c:v>
                </c:pt>
                <c:pt idx="1">
                  <c:v>2016</c:v>
                </c:pt>
                <c:pt idx="2">
                  <c:v>2017</c:v>
                </c:pt>
              </c:numCache>
            </c:numRef>
          </c:cat>
          <c:val>
            <c:numRef>
              <c:f>Sheet1!$D$380:$F$380</c:f>
              <c:numCache>
                <c:formatCode>General</c:formatCode>
                <c:ptCount val="3"/>
                <c:pt idx="0">
                  <c:v>29.5</c:v>
                </c:pt>
                <c:pt idx="1">
                  <c:v>31.5</c:v>
                </c:pt>
                <c:pt idx="2">
                  <c:v>32.800000000000011</c:v>
                </c:pt>
              </c:numCache>
            </c:numRef>
          </c:val>
        </c:ser>
        <c:marker val="1"/>
        <c:axId val="164790656"/>
        <c:axId val="164792192"/>
      </c:lineChart>
      <c:catAx>
        <c:axId val="164790656"/>
        <c:scaling>
          <c:orientation val="minMax"/>
        </c:scaling>
        <c:axPos val="b"/>
        <c:numFmt formatCode="General" sourceLinked="1"/>
        <c:tickLblPos val="nextTo"/>
        <c:crossAx val="164792192"/>
        <c:crosses val="autoZero"/>
        <c:auto val="1"/>
        <c:lblAlgn val="ctr"/>
        <c:lblOffset val="100"/>
      </c:catAx>
      <c:valAx>
        <c:axId val="164792192"/>
        <c:scaling>
          <c:orientation val="minMax"/>
        </c:scaling>
        <c:axPos val="l"/>
        <c:majorGridlines/>
        <c:title>
          <c:tx>
            <c:strRef>
              <c:f>Sheet1!$C$381</c:f>
              <c:strCache>
                <c:ptCount val="1"/>
                <c:pt idx="0">
                  <c:v>seconds per vehicle per mile</c:v>
                </c:pt>
              </c:strCache>
            </c:strRef>
          </c:tx>
          <c:layout/>
          <c:txPr>
            <a:bodyPr rot="-5400000" vert="horz"/>
            <a:lstStyle/>
            <a:p>
              <a:pPr>
                <a:defRPr/>
              </a:pPr>
              <a:endParaRPr lang="en-US"/>
            </a:p>
          </c:txPr>
        </c:title>
        <c:numFmt formatCode="General" sourceLinked="1"/>
        <c:tickLblPos val="nextTo"/>
        <c:crossAx val="164790656"/>
        <c:crosses val="autoZero"/>
        <c:crossBetween val="between"/>
      </c:valAx>
    </c:plotArea>
    <c:legend>
      <c:legendPos val="r"/>
      <c:layout/>
    </c:legend>
    <c:plotVisOnly val="1"/>
  </c:chart>
  <c:externalData r:id="rId1"/>
</c:chartSpace>
</file>

<file path=word/charts/chart68.xml><?xml version="1.0" encoding="utf-8"?>
<c:chartSpace xmlns:c="http://schemas.openxmlformats.org/drawingml/2006/chart" xmlns:a="http://schemas.openxmlformats.org/drawingml/2006/main" xmlns:r="http://schemas.openxmlformats.org/officeDocument/2006/relationships">
  <c:lang val="en-GB"/>
  <c:chart>
    <c:title>
      <c:tx>
        <c:strRef>
          <c:f>Sheet1!$C$385</c:f>
          <c:strCache>
            <c:ptCount val="1"/>
            <c:pt idx="0">
              <c:v>Proportion of adults who do any walking or cycling, for any purpose,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Sheet1!$C$386</c:f>
              <c:strCache>
                <c:ptCount val="1"/>
                <c:pt idx="0">
                  <c:v>Predominantly Rural average</c:v>
                </c:pt>
              </c:strCache>
            </c:strRef>
          </c:tx>
          <c:spPr>
            <a:solidFill>
              <a:schemeClr val="bg1">
                <a:lumMod val="75000"/>
              </a:schemeClr>
            </a:solidFill>
          </c:spPr>
          <c:cat>
            <c:strRef>
              <c:f>Sheet1!$D$385:$G$385</c:f>
              <c:strCache>
                <c:ptCount val="4"/>
                <c:pt idx="0">
                  <c:v>Once per month</c:v>
                </c:pt>
                <c:pt idx="1">
                  <c:v>Once per week</c:v>
                </c:pt>
                <c:pt idx="2">
                  <c:v>Three times per week</c:v>
                </c:pt>
                <c:pt idx="3">
                  <c:v>Five times per week</c:v>
                </c:pt>
              </c:strCache>
            </c:strRef>
          </c:cat>
          <c:val>
            <c:numRef>
              <c:f>Sheet1!$D$386:$G$386</c:f>
              <c:numCache>
                <c:formatCode>General</c:formatCode>
                <c:ptCount val="4"/>
                <c:pt idx="0">
                  <c:v>79.994502318271913</c:v>
                </c:pt>
                <c:pt idx="1">
                  <c:v>71.175824559937908</c:v>
                </c:pt>
                <c:pt idx="2">
                  <c:v>45.685015788498369</c:v>
                </c:pt>
                <c:pt idx="3">
                  <c:v>33.376804465942683</c:v>
                </c:pt>
              </c:numCache>
            </c:numRef>
          </c:val>
        </c:ser>
        <c:ser>
          <c:idx val="1"/>
          <c:order val="1"/>
          <c:tx>
            <c:strRef>
              <c:f>Sheet1!$C$387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Sheet1!$D$385:$G$385</c:f>
              <c:strCache>
                <c:ptCount val="4"/>
                <c:pt idx="0">
                  <c:v>Once per month</c:v>
                </c:pt>
                <c:pt idx="1">
                  <c:v>Once per week</c:v>
                </c:pt>
                <c:pt idx="2">
                  <c:v>Three times per week</c:v>
                </c:pt>
                <c:pt idx="3">
                  <c:v>Five times per week</c:v>
                </c:pt>
              </c:strCache>
            </c:strRef>
          </c:cat>
          <c:val>
            <c:numRef>
              <c:f>Sheet1!$D$387:$G$387</c:f>
              <c:numCache>
                <c:formatCode>General</c:formatCode>
                <c:ptCount val="4"/>
                <c:pt idx="0">
                  <c:v>78.833890472472945</c:v>
                </c:pt>
                <c:pt idx="1">
                  <c:v>70.482260135677919</c:v>
                </c:pt>
                <c:pt idx="2">
                  <c:v>45.946457647104232</c:v>
                </c:pt>
                <c:pt idx="3">
                  <c:v>34.530342869130905</c:v>
                </c:pt>
              </c:numCache>
            </c:numRef>
          </c:val>
        </c:ser>
        <c:ser>
          <c:idx val="2"/>
          <c:order val="2"/>
          <c:tx>
            <c:strRef>
              <c:f>Sheet1!$C$388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Sheet1!$D$385:$G$385</c:f>
              <c:strCache>
                <c:ptCount val="4"/>
                <c:pt idx="0">
                  <c:v>Once per month</c:v>
                </c:pt>
                <c:pt idx="1">
                  <c:v>Once per week</c:v>
                </c:pt>
                <c:pt idx="2">
                  <c:v>Three times per week</c:v>
                </c:pt>
                <c:pt idx="3">
                  <c:v>Five times per week</c:v>
                </c:pt>
              </c:strCache>
            </c:strRef>
          </c:cat>
          <c:val>
            <c:numRef>
              <c:f>Sheet1!$D$388:$G$388</c:f>
              <c:numCache>
                <c:formatCode>General</c:formatCode>
                <c:ptCount val="4"/>
                <c:pt idx="0">
                  <c:v>79.860956113259334</c:v>
                </c:pt>
                <c:pt idx="1">
                  <c:v>70.985745870887413</c:v>
                </c:pt>
                <c:pt idx="2">
                  <c:v>45.64136585261722</c:v>
                </c:pt>
                <c:pt idx="3">
                  <c:v>33.693657869796603</c:v>
                </c:pt>
              </c:numCache>
            </c:numRef>
          </c:val>
        </c:ser>
        <c:ser>
          <c:idx val="3"/>
          <c:order val="3"/>
          <c:tx>
            <c:strRef>
              <c:f>Sheet1!$C$389</c:f>
              <c:strCache>
                <c:ptCount val="1"/>
                <c:pt idx="0">
                  <c:v>Uttlesford</c:v>
                </c:pt>
              </c:strCache>
            </c:strRef>
          </c:tx>
          <c:spPr>
            <a:solidFill>
              <a:schemeClr val="tx1"/>
            </a:solidFill>
          </c:spPr>
          <c:cat>
            <c:strRef>
              <c:f>Sheet1!$D$385:$G$385</c:f>
              <c:strCache>
                <c:ptCount val="4"/>
                <c:pt idx="0">
                  <c:v>Once per month</c:v>
                </c:pt>
                <c:pt idx="1">
                  <c:v>Once per week</c:v>
                </c:pt>
                <c:pt idx="2">
                  <c:v>Three times per week</c:v>
                </c:pt>
                <c:pt idx="3">
                  <c:v>Five times per week</c:v>
                </c:pt>
              </c:strCache>
            </c:strRef>
          </c:cat>
          <c:val>
            <c:numRef>
              <c:f>Sheet1!$D$389:$G$389</c:f>
              <c:numCache>
                <c:formatCode>General</c:formatCode>
                <c:ptCount val="4"/>
                <c:pt idx="0">
                  <c:v>83.512755101597676</c:v>
                </c:pt>
                <c:pt idx="1">
                  <c:v>75.033638723921797</c:v>
                </c:pt>
                <c:pt idx="2">
                  <c:v>46.997376167570984</c:v>
                </c:pt>
                <c:pt idx="3">
                  <c:v>36.295677137393881</c:v>
                </c:pt>
              </c:numCache>
            </c:numRef>
          </c:val>
        </c:ser>
        <c:axId val="164913920"/>
        <c:axId val="164915456"/>
      </c:barChart>
      <c:catAx>
        <c:axId val="164913920"/>
        <c:scaling>
          <c:orientation val="minMax"/>
        </c:scaling>
        <c:axPos val="b"/>
        <c:tickLblPos val="nextTo"/>
        <c:txPr>
          <a:bodyPr/>
          <a:lstStyle/>
          <a:p>
            <a:pPr>
              <a:defRPr sz="800"/>
            </a:pPr>
            <a:endParaRPr lang="en-US"/>
          </a:p>
        </c:txPr>
        <c:crossAx val="164915456"/>
        <c:crosses val="autoZero"/>
        <c:auto val="1"/>
        <c:lblAlgn val="ctr"/>
        <c:lblOffset val="100"/>
      </c:catAx>
      <c:valAx>
        <c:axId val="164915456"/>
        <c:scaling>
          <c:orientation val="minMax"/>
        </c:scaling>
        <c:axPos val="l"/>
        <c:majorGridlines/>
        <c:title>
          <c:tx>
            <c:strRef>
              <c:f>Sheet1!$C$390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4913920"/>
        <c:crosses val="autoZero"/>
        <c:crossBetween val="between"/>
      </c:valAx>
    </c:plotArea>
    <c:legend>
      <c:legendPos val="r"/>
      <c:layout/>
      <c:txPr>
        <a:bodyPr/>
        <a:lstStyle/>
        <a:p>
          <a:pPr>
            <a:defRPr sz="800"/>
          </a:pPr>
          <a:endParaRPr lang="en-US"/>
        </a:p>
      </c:txPr>
    </c:legend>
    <c:plotVisOnly val="1"/>
  </c:chart>
  <c:externalData r:id="rId1"/>
</c:chartSpace>
</file>

<file path=word/charts/chart69.xml><?xml version="1.0" encoding="utf-8"?>
<c:chartSpace xmlns:c="http://schemas.openxmlformats.org/drawingml/2006/chart" xmlns:a="http://schemas.openxmlformats.org/drawingml/2006/main" xmlns:r="http://schemas.openxmlformats.org/officeDocument/2006/relationships">
  <c:lang val="en-GB"/>
  <c:chart>
    <c:title>
      <c:tx>
        <c:strRef>
          <c:f>Sheet1!$O$385</c:f>
          <c:strCache>
            <c:ptCount val="1"/>
            <c:pt idx="0">
              <c:v>Proportion of adults that do any cycling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Sheet1!$P$385:$S$385</c:f>
              <c:strCache>
                <c:ptCount val="4"/>
                <c:pt idx="0">
                  <c:v>Once per month</c:v>
                </c:pt>
                <c:pt idx="1">
                  <c:v>Once per week</c:v>
                </c:pt>
                <c:pt idx="2">
                  <c:v>Three times per week</c:v>
                </c:pt>
                <c:pt idx="3">
                  <c:v>Five times per week</c:v>
                </c:pt>
              </c:strCache>
            </c:strRef>
          </c:cat>
          <c:val>
            <c:numRef>
              <c:f>Sheet1!$P$386:$S$386</c:f>
              <c:numCache>
                <c:formatCode>General</c:formatCode>
                <c:ptCount val="4"/>
                <c:pt idx="0">
                  <c:v>18.62971445642463</c:v>
                </c:pt>
                <c:pt idx="1">
                  <c:v>12.317848917802099</c:v>
                </c:pt>
                <c:pt idx="2">
                  <c:v>4.9864778654535042</c:v>
                </c:pt>
                <c:pt idx="3">
                  <c:v>2.6135655863943055</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Sheet1!$P$385:$S$385</c:f>
              <c:strCache>
                <c:ptCount val="4"/>
                <c:pt idx="0">
                  <c:v>Once per month</c:v>
                </c:pt>
                <c:pt idx="1">
                  <c:v>Once per week</c:v>
                </c:pt>
                <c:pt idx="2">
                  <c:v>Three times per week</c:v>
                </c:pt>
                <c:pt idx="3">
                  <c:v>Five times per week</c:v>
                </c:pt>
              </c:strCache>
            </c:strRef>
          </c:cat>
          <c:val>
            <c:numRef>
              <c:f>Sheet1!$P$387:$S$387</c:f>
              <c:numCache>
                <c:formatCode>General</c:formatCode>
                <c:ptCount val="4"/>
                <c:pt idx="0">
                  <c:v>17.202029246923846</c:v>
                </c:pt>
                <c:pt idx="1">
                  <c:v>12.269124925258293</c:v>
                </c:pt>
                <c:pt idx="2">
                  <c:v>6.1482032257443429</c:v>
                </c:pt>
                <c:pt idx="3">
                  <c:v>3.7542337550957745</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Sheet1!$P$385:$S$385</c:f>
              <c:strCache>
                <c:ptCount val="4"/>
                <c:pt idx="0">
                  <c:v>Once per month</c:v>
                </c:pt>
                <c:pt idx="1">
                  <c:v>Once per week</c:v>
                </c:pt>
                <c:pt idx="2">
                  <c:v>Three times per week</c:v>
                </c:pt>
                <c:pt idx="3">
                  <c:v>Five times per week</c:v>
                </c:pt>
              </c:strCache>
            </c:strRef>
          </c:cat>
          <c:val>
            <c:numRef>
              <c:f>Sheet1!$P$388:$S$388</c:f>
              <c:numCache>
                <c:formatCode>General</c:formatCode>
                <c:ptCount val="4"/>
                <c:pt idx="0">
                  <c:v>18.357674854085502</c:v>
                </c:pt>
                <c:pt idx="1">
                  <c:v>12.471354759089786</c:v>
                </c:pt>
                <c:pt idx="2">
                  <c:v>5.6105768607254918</c:v>
                </c:pt>
                <c:pt idx="3">
                  <c:v>3.1791686564954658</c:v>
                </c:pt>
              </c:numCache>
            </c:numRef>
          </c:val>
        </c:ser>
        <c:ser>
          <c:idx val="3"/>
          <c:order val="3"/>
          <c:tx>
            <c:strRef>
              <c:f>Sheet1!$O$389</c:f>
              <c:strCache>
                <c:ptCount val="1"/>
                <c:pt idx="0">
                  <c:v>Uttlesford</c:v>
                </c:pt>
              </c:strCache>
            </c:strRef>
          </c:tx>
          <c:spPr>
            <a:solidFill>
              <a:schemeClr val="tx1"/>
            </a:solidFill>
          </c:spPr>
          <c:cat>
            <c:strRef>
              <c:f>Sheet1!$P$385:$S$385</c:f>
              <c:strCache>
                <c:ptCount val="4"/>
                <c:pt idx="0">
                  <c:v>Once per month</c:v>
                </c:pt>
                <c:pt idx="1">
                  <c:v>Once per week</c:v>
                </c:pt>
                <c:pt idx="2">
                  <c:v>Three times per week</c:v>
                </c:pt>
                <c:pt idx="3">
                  <c:v>Five times per week</c:v>
                </c:pt>
              </c:strCache>
            </c:strRef>
          </c:cat>
          <c:val>
            <c:numRef>
              <c:f>Sheet1!$P$389:$S$389</c:f>
              <c:numCache>
                <c:formatCode>General</c:formatCode>
                <c:ptCount val="4"/>
                <c:pt idx="0">
                  <c:v>16.927250252765063</c:v>
                </c:pt>
                <c:pt idx="1">
                  <c:v>10.916107885656698</c:v>
                </c:pt>
                <c:pt idx="2">
                  <c:v>5.1122938484391725</c:v>
                </c:pt>
                <c:pt idx="3">
                  <c:v>3.1260771208172633</c:v>
                </c:pt>
              </c:numCache>
            </c:numRef>
          </c:val>
        </c:ser>
        <c:axId val="164947072"/>
        <c:axId val="164948608"/>
      </c:barChart>
      <c:catAx>
        <c:axId val="164947072"/>
        <c:scaling>
          <c:orientation val="minMax"/>
        </c:scaling>
        <c:axPos val="b"/>
        <c:numFmt formatCode="General" sourceLinked="1"/>
        <c:tickLblPos val="nextTo"/>
        <c:txPr>
          <a:bodyPr/>
          <a:lstStyle/>
          <a:p>
            <a:pPr>
              <a:defRPr sz="800"/>
            </a:pPr>
            <a:endParaRPr lang="en-US"/>
          </a:p>
        </c:txPr>
        <c:crossAx val="164948608"/>
        <c:crosses val="autoZero"/>
        <c:auto val="1"/>
        <c:lblAlgn val="ctr"/>
        <c:lblOffset val="100"/>
      </c:catAx>
      <c:valAx>
        <c:axId val="164948608"/>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4947072"/>
        <c:crosses val="autoZero"/>
        <c:crossBetween val="between"/>
      </c:valAx>
    </c:plotArea>
    <c:legend>
      <c:legendPos val="r"/>
      <c:layout/>
      <c:txPr>
        <a:bodyPr/>
        <a:lstStyle/>
        <a:p>
          <a:pPr>
            <a:defRPr sz="800"/>
          </a:pPr>
          <a:endParaRPr lang="en-US"/>
        </a:p>
      </c:txP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Sheet1!$BT$379</c:f>
          <c:strCache>
            <c:ptCount val="1"/>
            <c:pt idx="0">
              <c:v>Travel time to nearest employment centre with at least 5000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Sheet1!$BT$380</c:f>
              <c:strCache>
                <c:ptCount val="1"/>
                <c:pt idx="0">
                  <c:v>Predominantly Rural average</c:v>
                </c:pt>
              </c:strCache>
            </c:strRef>
          </c:tx>
          <c:spPr>
            <a:ln w="25400">
              <a:solidFill>
                <a:schemeClr val="bg1">
                  <a:lumMod val="65000"/>
                </a:schemeClr>
              </a:solidFill>
            </a:ln>
          </c:spPr>
          <c:marker>
            <c:symbol val="none"/>
          </c:marker>
          <c:cat>
            <c:numRef>
              <c:f>Sheet1!$BU$379:$BW$379</c:f>
              <c:numCache>
                <c:formatCode>General</c:formatCode>
                <c:ptCount val="3"/>
                <c:pt idx="0">
                  <c:v>2014</c:v>
                </c:pt>
                <c:pt idx="1">
                  <c:v>2015</c:v>
                </c:pt>
                <c:pt idx="2">
                  <c:v>2016</c:v>
                </c:pt>
              </c:numCache>
            </c:numRef>
          </c:cat>
          <c:val>
            <c:numRef>
              <c:f>Sheet1!$BU$380:$BW$380</c:f>
              <c:numCache>
                <c:formatCode>General</c:formatCode>
                <c:ptCount val="3"/>
                <c:pt idx="0">
                  <c:v>53.574551556812388</c:v>
                </c:pt>
                <c:pt idx="1">
                  <c:v>54.474679226812057</c:v>
                </c:pt>
                <c:pt idx="2">
                  <c:v>54.191171905604087</c:v>
                </c:pt>
              </c:numCache>
            </c:numRef>
          </c:val>
        </c:ser>
        <c:ser>
          <c:idx val="2"/>
          <c:order val="1"/>
          <c:tx>
            <c:strRef>
              <c:f>Sheet1!$BT$381</c:f>
              <c:strCache>
                <c:ptCount val="1"/>
                <c:pt idx="0">
                  <c:v>Predominantly Urban average</c:v>
                </c:pt>
              </c:strCache>
            </c:strRef>
          </c:tx>
          <c:spPr>
            <a:ln w="25400">
              <a:solidFill>
                <a:schemeClr val="accent6">
                  <a:lumMod val="75000"/>
                </a:schemeClr>
              </a:solidFill>
              <a:prstDash val="sysDash"/>
            </a:ln>
          </c:spPr>
          <c:marker>
            <c:symbol val="none"/>
          </c:marker>
          <c:cat>
            <c:numRef>
              <c:f>Sheet1!$BU$379:$BW$379</c:f>
              <c:numCache>
                <c:formatCode>General</c:formatCode>
                <c:ptCount val="3"/>
                <c:pt idx="0">
                  <c:v>2014</c:v>
                </c:pt>
                <c:pt idx="1">
                  <c:v>2015</c:v>
                </c:pt>
                <c:pt idx="2">
                  <c:v>2016</c:v>
                </c:pt>
              </c:numCache>
            </c:numRef>
          </c:cat>
          <c:val>
            <c:numRef>
              <c:f>Sheet1!$BU$381:$BW$381</c:f>
              <c:numCache>
                <c:formatCode>General</c:formatCode>
                <c:ptCount val="3"/>
                <c:pt idx="0">
                  <c:v>26.539820232972112</c:v>
                </c:pt>
                <c:pt idx="1">
                  <c:v>26.413549030206369</c:v>
                </c:pt>
                <c:pt idx="2">
                  <c:v>26.66775564730273</c:v>
                </c:pt>
              </c:numCache>
            </c:numRef>
          </c:val>
        </c:ser>
        <c:ser>
          <c:idx val="3"/>
          <c:order val="2"/>
          <c:tx>
            <c:strRef>
              <c:f>Sheet1!$BT$382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Sheet1!$BU$379:$BW$379</c:f>
              <c:numCache>
                <c:formatCode>General</c:formatCode>
                <c:ptCount val="3"/>
                <c:pt idx="0">
                  <c:v>2014</c:v>
                </c:pt>
                <c:pt idx="1">
                  <c:v>2015</c:v>
                </c:pt>
                <c:pt idx="2">
                  <c:v>2016</c:v>
                </c:pt>
              </c:numCache>
            </c:numRef>
          </c:cat>
          <c:val>
            <c:numRef>
              <c:f>Sheet1!$BU$382:$BW$382</c:f>
              <c:numCache>
                <c:formatCode>General</c:formatCode>
                <c:ptCount val="3"/>
                <c:pt idx="0">
                  <c:v>41.687013160068155</c:v>
                </c:pt>
                <c:pt idx="1">
                  <c:v>42.182753509816145</c:v>
                </c:pt>
                <c:pt idx="2">
                  <c:v>42.288470876731566</c:v>
                </c:pt>
              </c:numCache>
            </c:numRef>
          </c:val>
        </c:ser>
        <c:ser>
          <c:idx val="4"/>
          <c:order val="3"/>
          <c:tx>
            <c:strRef>
              <c:f>Sheet1!$BT$383</c:f>
              <c:strCache>
                <c:ptCount val="1"/>
                <c:pt idx="0">
                  <c:v>Uttlesford</c:v>
                </c:pt>
              </c:strCache>
            </c:strRef>
          </c:tx>
          <c:spPr>
            <a:ln w="25400">
              <a:solidFill>
                <a:schemeClr val="tx1"/>
              </a:solidFill>
            </a:ln>
          </c:spPr>
          <c:marker>
            <c:symbol val="none"/>
          </c:marker>
          <c:cat>
            <c:numRef>
              <c:f>Sheet1!$BU$379:$BW$379</c:f>
              <c:numCache>
                <c:formatCode>General</c:formatCode>
                <c:ptCount val="3"/>
                <c:pt idx="0">
                  <c:v>2014</c:v>
                </c:pt>
                <c:pt idx="1">
                  <c:v>2015</c:v>
                </c:pt>
                <c:pt idx="2">
                  <c:v>2016</c:v>
                </c:pt>
              </c:numCache>
            </c:numRef>
          </c:cat>
          <c:val>
            <c:numRef>
              <c:f>Sheet1!$BU$383:$BW$383</c:f>
              <c:numCache>
                <c:formatCode>General</c:formatCode>
                <c:ptCount val="3"/>
                <c:pt idx="0">
                  <c:v>50.6929161495109</c:v>
                </c:pt>
                <c:pt idx="1">
                  <c:v>51.5730523981658</c:v>
                </c:pt>
                <c:pt idx="2">
                  <c:v>51.9586270602722</c:v>
                </c:pt>
              </c:numCache>
            </c:numRef>
          </c:val>
        </c:ser>
        <c:marker val="1"/>
        <c:axId val="161953664"/>
        <c:axId val="161955200"/>
      </c:lineChart>
      <c:catAx>
        <c:axId val="161953664"/>
        <c:scaling>
          <c:orientation val="minMax"/>
        </c:scaling>
        <c:axPos val="b"/>
        <c:numFmt formatCode="General" sourceLinked="1"/>
        <c:tickLblPos val="nextTo"/>
        <c:crossAx val="161955200"/>
        <c:crosses val="autoZero"/>
        <c:auto val="1"/>
        <c:lblAlgn val="ctr"/>
        <c:lblOffset val="100"/>
      </c:catAx>
      <c:valAx>
        <c:axId val="161955200"/>
        <c:scaling>
          <c:orientation val="minMax"/>
        </c:scaling>
        <c:axPos val="l"/>
        <c:majorGridlines/>
        <c:title>
          <c:tx>
            <c:strRef>
              <c:f>Sheet1!$BT$384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953664"/>
        <c:crosses val="autoZero"/>
        <c:crossBetween val="between"/>
      </c:valAx>
    </c:plotArea>
    <c:legend>
      <c:legendPos val="r"/>
      <c:txPr>
        <a:bodyPr/>
        <a:lstStyle/>
        <a:p>
          <a:pPr>
            <a:defRPr sz="800"/>
          </a:pPr>
          <a:endParaRPr lang="en-US"/>
        </a:p>
      </c:txPr>
    </c:legend>
    <c:plotVisOnly val="1"/>
  </c:chart>
  <c:externalData r:id="rId1"/>
</c:chartSpace>
</file>

<file path=word/charts/chart70.xml><?xml version="1.0" encoding="utf-8"?>
<c:chartSpace xmlns:c="http://schemas.openxmlformats.org/drawingml/2006/chart" xmlns:a="http://schemas.openxmlformats.org/drawingml/2006/main" xmlns:r="http://schemas.openxmlformats.org/officeDocument/2006/relationships">
  <c:lang val="en-GB"/>
  <c:chart>
    <c:title>
      <c:tx>
        <c:strRef>
          <c:f>Sheet1!$T$385</c:f>
          <c:strCache>
            <c:ptCount val="1"/>
            <c:pt idx="0">
              <c:v>Proportion of adults that cycle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Sheet1!$U$385:$X$385</c:f>
              <c:strCache>
                <c:ptCount val="4"/>
                <c:pt idx="0">
                  <c:v>Once per month</c:v>
                </c:pt>
                <c:pt idx="1">
                  <c:v>Once per week</c:v>
                </c:pt>
                <c:pt idx="2">
                  <c:v>Three times per week</c:v>
                </c:pt>
                <c:pt idx="3">
                  <c:v>Five times per week</c:v>
                </c:pt>
              </c:strCache>
            </c:strRef>
          </c:cat>
          <c:val>
            <c:numRef>
              <c:f>Sheet1!$U$386:$X$386</c:f>
              <c:numCache>
                <c:formatCode>General</c:formatCode>
                <c:ptCount val="4"/>
                <c:pt idx="0">
                  <c:v>16.151674197939037</c:v>
                </c:pt>
                <c:pt idx="1">
                  <c:v>9.3440235113504304</c:v>
                </c:pt>
                <c:pt idx="2">
                  <c:v>2.6070059281069131</c:v>
                </c:pt>
                <c:pt idx="3">
                  <c:v>1.147905228434102</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Sheet1!$U$385:$X$385</c:f>
              <c:strCache>
                <c:ptCount val="4"/>
                <c:pt idx="0">
                  <c:v>Once per month</c:v>
                </c:pt>
                <c:pt idx="1">
                  <c:v>Once per week</c:v>
                </c:pt>
                <c:pt idx="2">
                  <c:v>Three times per week</c:v>
                </c:pt>
                <c:pt idx="3">
                  <c:v>Five times per week</c:v>
                </c:pt>
              </c:strCache>
            </c:strRef>
          </c:cat>
          <c:val>
            <c:numRef>
              <c:f>Sheet1!$U$387:$X$387</c:f>
              <c:numCache>
                <c:formatCode>General</c:formatCode>
                <c:ptCount val="4"/>
                <c:pt idx="0">
                  <c:v>13.565104351740963</c:v>
                </c:pt>
                <c:pt idx="1">
                  <c:v>7.9359626807363481</c:v>
                </c:pt>
                <c:pt idx="2">
                  <c:v>2.2525485132443905</c:v>
                </c:pt>
                <c:pt idx="3">
                  <c:v>1.0366756457171427</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Sheet1!$U$385:$X$385</c:f>
              <c:strCache>
                <c:ptCount val="4"/>
                <c:pt idx="0">
                  <c:v>Once per month</c:v>
                </c:pt>
                <c:pt idx="1">
                  <c:v>Once per week</c:v>
                </c:pt>
                <c:pt idx="2">
                  <c:v>Three times per week</c:v>
                </c:pt>
                <c:pt idx="3">
                  <c:v>Five times per week</c:v>
                </c:pt>
              </c:strCache>
            </c:strRef>
          </c:cat>
          <c:val>
            <c:numRef>
              <c:f>Sheet1!$U$388:$X$388</c:f>
              <c:numCache>
                <c:formatCode>General</c:formatCode>
                <c:ptCount val="4"/>
                <c:pt idx="0">
                  <c:v>15.461257041343204</c:v>
                </c:pt>
                <c:pt idx="1">
                  <c:v>8.9764151208158047</c:v>
                </c:pt>
                <c:pt idx="2">
                  <c:v>2.5208107035863017</c:v>
                </c:pt>
                <c:pt idx="3">
                  <c:v>1.1122329376812452</c:v>
                </c:pt>
              </c:numCache>
            </c:numRef>
          </c:val>
        </c:ser>
        <c:ser>
          <c:idx val="3"/>
          <c:order val="3"/>
          <c:tx>
            <c:strRef>
              <c:f>Sheet1!$O$389</c:f>
              <c:strCache>
                <c:ptCount val="1"/>
                <c:pt idx="0">
                  <c:v>Uttlesford</c:v>
                </c:pt>
              </c:strCache>
            </c:strRef>
          </c:tx>
          <c:spPr>
            <a:solidFill>
              <a:schemeClr val="tx1"/>
            </a:solidFill>
          </c:spPr>
          <c:cat>
            <c:strRef>
              <c:f>Sheet1!$U$385:$X$385</c:f>
              <c:strCache>
                <c:ptCount val="4"/>
                <c:pt idx="0">
                  <c:v>Once per month</c:v>
                </c:pt>
                <c:pt idx="1">
                  <c:v>Once per week</c:v>
                </c:pt>
                <c:pt idx="2">
                  <c:v>Three times per week</c:v>
                </c:pt>
                <c:pt idx="3">
                  <c:v>Five times per week</c:v>
                </c:pt>
              </c:strCache>
            </c:strRef>
          </c:cat>
          <c:val>
            <c:numRef>
              <c:f>Sheet1!$U$389:$X$389</c:f>
              <c:numCache>
                <c:formatCode>General</c:formatCode>
                <c:ptCount val="4"/>
                <c:pt idx="0">
                  <c:v>14.496099367197404</c:v>
                </c:pt>
                <c:pt idx="1">
                  <c:v>8.7442072177579284</c:v>
                </c:pt>
                <c:pt idx="2">
                  <c:v>3.5111871796279726</c:v>
                </c:pt>
                <c:pt idx="3">
                  <c:v>1.2106948194193774</c:v>
                </c:pt>
              </c:numCache>
            </c:numRef>
          </c:val>
        </c:ser>
        <c:axId val="164861440"/>
        <c:axId val="164862976"/>
      </c:barChart>
      <c:catAx>
        <c:axId val="164861440"/>
        <c:scaling>
          <c:orientation val="minMax"/>
        </c:scaling>
        <c:axPos val="b"/>
        <c:numFmt formatCode="General" sourceLinked="1"/>
        <c:tickLblPos val="nextTo"/>
        <c:txPr>
          <a:bodyPr/>
          <a:lstStyle/>
          <a:p>
            <a:pPr>
              <a:defRPr sz="800"/>
            </a:pPr>
            <a:endParaRPr lang="en-US"/>
          </a:p>
        </c:txPr>
        <c:crossAx val="164862976"/>
        <c:crosses val="autoZero"/>
        <c:auto val="1"/>
        <c:lblAlgn val="ctr"/>
        <c:lblOffset val="100"/>
      </c:catAx>
      <c:valAx>
        <c:axId val="164862976"/>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4861440"/>
        <c:crosses val="autoZero"/>
        <c:crossBetween val="between"/>
      </c:valAx>
    </c:plotArea>
    <c:legend>
      <c:legendPos val="r"/>
      <c:layout/>
      <c:txPr>
        <a:bodyPr/>
        <a:lstStyle/>
        <a:p>
          <a:pPr>
            <a:defRPr sz="800"/>
          </a:pPr>
          <a:endParaRPr lang="en-US"/>
        </a:p>
      </c:txPr>
    </c:legend>
    <c:plotVisOnly val="1"/>
  </c:chart>
  <c:externalData r:id="rId1"/>
</c:chartSpace>
</file>

<file path=word/charts/chart71.xml><?xml version="1.0" encoding="utf-8"?>
<c:chartSpace xmlns:c="http://schemas.openxmlformats.org/drawingml/2006/chart" xmlns:a="http://schemas.openxmlformats.org/drawingml/2006/main" xmlns:r="http://schemas.openxmlformats.org/officeDocument/2006/relationships">
  <c:lang val="en-GB"/>
  <c:chart>
    <c:title>
      <c:tx>
        <c:strRef>
          <c:f>Sheet1!$Y$385</c:f>
          <c:strCache>
            <c:ptCount val="1"/>
            <c:pt idx="0">
              <c:v>Proportion of adults that cycle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Sheet1!$Z$385:$AC$385</c:f>
              <c:strCache>
                <c:ptCount val="4"/>
                <c:pt idx="0">
                  <c:v>Once per month</c:v>
                </c:pt>
                <c:pt idx="1">
                  <c:v>Once per week</c:v>
                </c:pt>
                <c:pt idx="2">
                  <c:v>Three times per week</c:v>
                </c:pt>
                <c:pt idx="3">
                  <c:v>Five times per week</c:v>
                </c:pt>
              </c:strCache>
            </c:strRef>
          </c:cat>
          <c:val>
            <c:numRef>
              <c:f>Sheet1!$Z$386:$AC$386</c:f>
              <c:numCache>
                <c:formatCode>General</c:formatCode>
                <c:ptCount val="4"/>
                <c:pt idx="0">
                  <c:v>6.7852956193061544</c:v>
                </c:pt>
                <c:pt idx="1">
                  <c:v>4.8736204074001037</c:v>
                </c:pt>
                <c:pt idx="2">
                  <c:v>2.161953576697305</c:v>
                </c:pt>
                <c:pt idx="3">
                  <c:v>1.1929432328894456</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Sheet1!$Z$385:$AC$385</c:f>
              <c:strCache>
                <c:ptCount val="4"/>
                <c:pt idx="0">
                  <c:v>Once per month</c:v>
                </c:pt>
                <c:pt idx="1">
                  <c:v>Once per week</c:v>
                </c:pt>
                <c:pt idx="2">
                  <c:v>Three times per week</c:v>
                </c:pt>
                <c:pt idx="3">
                  <c:v>Five times per week</c:v>
                </c:pt>
              </c:strCache>
            </c:strRef>
          </c:cat>
          <c:val>
            <c:numRef>
              <c:f>Sheet1!$Z$387:$AC$387</c:f>
              <c:numCache>
                <c:formatCode>General</c:formatCode>
                <c:ptCount val="4"/>
                <c:pt idx="0">
                  <c:v>8.9753766699644277</c:v>
                </c:pt>
                <c:pt idx="1">
                  <c:v>7.0033647463668567</c:v>
                </c:pt>
                <c:pt idx="2">
                  <c:v>3.8270432358187976</c:v>
                </c:pt>
                <c:pt idx="3">
                  <c:v>2.4392979269362836</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Sheet1!$Z$385:$AC$385</c:f>
              <c:strCache>
                <c:ptCount val="4"/>
                <c:pt idx="0">
                  <c:v>Once per month</c:v>
                </c:pt>
                <c:pt idx="1">
                  <c:v>Once per week</c:v>
                </c:pt>
                <c:pt idx="2">
                  <c:v>Three times per week</c:v>
                </c:pt>
                <c:pt idx="3">
                  <c:v>Five times per week</c:v>
                </c:pt>
              </c:strCache>
            </c:strRef>
          </c:cat>
          <c:val>
            <c:numRef>
              <c:f>Sheet1!$Z$388:$AC$388</c:f>
              <c:numCache>
                <c:formatCode>General</c:formatCode>
                <c:ptCount val="4"/>
                <c:pt idx="0">
                  <c:v>7.6520657636072995</c:v>
                </c:pt>
                <c:pt idx="1">
                  <c:v>5.7941594125203455</c:v>
                </c:pt>
                <c:pt idx="2">
                  <c:v>2.8867565899780687</c:v>
                </c:pt>
                <c:pt idx="3">
                  <c:v>1.7834290125597438</c:v>
                </c:pt>
              </c:numCache>
            </c:numRef>
          </c:val>
        </c:ser>
        <c:ser>
          <c:idx val="3"/>
          <c:order val="3"/>
          <c:tx>
            <c:strRef>
              <c:f>Sheet1!$O$389</c:f>
              <c:strCache>
                <c:ptCount val="1"/>
                <c:pt idx="0">
                  <c:v>Uttlesford</c:v>
                </c:pt>
              </c:strCache>
            </c:strRef>
          </c:tx>
          <c:spPr>
            <a:solidFill>
              <a:schemeClr val="tx1"/>
            </a:solidFill>
          </c:spPr>
          <c:cat>
            <c:strRef>
              <c:f>Sheet1!$Z$385:$AC$385</c:f>
              <c:strCache>
                <c:ptCount val="4"/>
                <c:pt idx="0">
                  <c:v>Once per month</c:v>
                </c:pt>
                <c:pt idx="1">
                  <c:v>Once per week</c:v>
                </c:pt>
                <c:pt idx="2">
                  <c:v>Three times per week</c:v>
                </c:pt>
                <c:pt idx="3">
                  <c:v>Five times per week</c:v>
                </c:pt>
              </c:strCache>
            </c:strRef>
          </c:cat>
          <c:val>
            <c:numRef>
              <c:f>Sheet1!$Z$389:$AC$389</c:f>
              <c:numCache>
                <c:formatCode>General</c:formatCode>
                <c:ptCount val="4"/>
                <c:pt idx="0">
                  <c:v>6.5742183540418733</c:v>
                </c:pt>
                <c:pt idx="1">
                  <c:v>4.2072733454454916</c:v>
                </c:pt>
                <c:pt idx="2">
                  <c:v>1.0767289023223059</c:v>
                </c:pt>
                <c:pt idx="3">
                  <c:v>0.84526064415005342</c:v>
                </c:pt>
              </c:numCache>
            </c:numRef>
          </c:val>
        </c:ser>
        <c:axId val="165050240"/>
        <c:axId val="165051776"/>
      </c:barChart>
      <c:catAx>
        <c:axId val="165050240"/>
        <c:scaling>
          <c:orientation val="minMax"/>
        </c:scaling>
        <c:axPos val="b"/>
        <c:numFmt formatCode="General" sourceLinked="1"/>
        <c:tickLblPos val="nextTo"/>
        <c:txPr>
          <a:bodyPr/>
          <a:lstStyle/>
          <a:p>
            <a:pPr>
              <a:defRPr sz="800"/>
            </a:pPr>
            <a:endParaRPr lang="en-US"/>
          </a:p>
        </c:txPr>
        <c:crossAx val="165051776"/>
        <c:crosses val="autoZero"/>
        <c:auto val="1"/>
        <c:lblAlgn val="ctr"/>
        <c:lblOffset val="100"/>
      </c:catAx>
      <c:valAx>
        <c:axId val="165051776"/>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5050240"/>
        <c:crosses val="autoZero"/>
        <c:crossBetween val="between"/>
      </c:valAx>
    </c:plotArea>
    <c:legend>
      <c:legendPos val="r"/>
      <c:layout/>
      <c:txPr>
        <a:bodyPr/>
        <a:lstStyle/>
        <a:p>
          <a:pPr>
            <a:defRPr sz="800"/>
          </a:pPr>
          <a:endParaRPr lang="en-US"/>
        </a:p>
      </c:txPr>
    </c:legend>
    <c:plotVisOnly val="1"/>
  </c:chart>
  <c:externalData r:id="rId1"/>
</c:chartSpace>
</file>

<file path=word/charts/chart72.xml><?xml version="1.0" encoding="utf-8"?>
<c:chartSpace xmlns:c="http://schemas.openxmlformats.org/drawingml/2006/chart" xmlns:a="http://schemas.openxmlformats.org/drawingml/2006/main" xmlns:r="http://schemas.openxmlformats.org/officeDocument/2006/relationships">
  <c:lang val="en-GB"/>
  <c:chart>
    <c:title>
      <c:tx>
        <c:strRef>
          <c:f>Sheet1!$AI$385</c:f>
          <c:strCache>
            <c:ptCount val="1"/>
            <c:pt idx="0">
              <c:v>Proportion of adults that walk,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Sheet1!$AJ$385:$AM$385</c:f>
              <c:strCache>
                <c:ptCount val="4"/>
                <c:pt idx="0">
                  <c:v>Once per month</c:v>
                </c:pt>
                <c:pt idx="1">
                  <c:v>Once per week</c:v>
                </c:pt>
                <c:pt idx="2">
                  <c:v>Three times per week</c:v>
                </c:pt>
                <c:pt idx="3">
                  <c:v>Five times per week</c:v>
                </c:pt>
              </c:strCache>
            </c:strRef>
          </c:cat>
          <c:val>
            <c:numRef>
              <c:f>Sheet1!$AJ$386:$AM$386</c:f>
              <c:numCache>
                <c:formatCode>General</c:formatCode>
                <c:ptCount val="4"/>
                <c:pt idx="0">
                  <c:v>78.204063931631495</c:v>
                </c:pt>
                <c:pt idx="1">
                  <c:v>68.4475566894683</c:v>
                </c:pt>
                <c:pt idx="2">
                  <c:v>41.724010409306075</c:v>
                </c:pt>
                <c:pt idx="3">
                  <c:v>30.361184286907054</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Sheet1!$AJ$385:$AM$385</c:f>
              <c:strCache>
                <c:ptCount val="4"/>
                <c:pt idx="0">
                  <c:v>Once per month</c:v>
                </c:pt>
                <c:pt idx="1">
                  <c:v>Once per week</c:v>
                </c:pt>
                <c:pt idx="2">
                  <c:v>Three times per week</c:v>
                </c:pt>
                <c:pt idx="3">
                  <c:v>Five times per week</c:v>
                </c:pt>
              </c:strCache>
            </c:strRef>
          </c:cat>
          <c:val>
            <c:numRef>
              <c:f>Sheet1!$AJ$387:$AM$387</c:f>
              <c:numCache>
                <c:formatCode>General</c:formatCode>
                <c:ptCount val="4"/>
                <c:pt idx="0">
                  <c:v>77.1489125663431</c:v>
                </c:pt>
                <c:pt idx="1">
                  <c:v>68.037849743348602</c:v>
                </c:pt>
                <c:pt idx="2">
                  <c:v>41.81790855528034</c:v>
                </c:pt>
                <c:pt idx="3">
                  <c:v>30.858610973818408</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Sheet1!$AJ$385:$AM$385</c:f>
              <c:strCache>
                <c:ptCount val="4"/>
                <c:pt idx="0">
                  <c:v>Once per month</c:v>
                </c:pt>
                <c:pt idx="1">
                  <c:v>Once per week</c:v>
                </c:pt>
                <c:pt idx="2">
                  <c:v>Three times per week</c:v>
                </c:pt>
                <c:pt idx="3">
                  <c:v>Five times per week</c:v>
                </c:pt>
              </c:strCache>
            </c:strRef>
          </c:cat>
          <c:val>
            <c:numRef>
              <c:f>Sheet1!$AJ$388:$AM$388</c:f>
              <c:numCache>
                <c:formatCode>General</c:formatCode>
                <c:ptCount val="4"/>
                <c:pt idx="0">
                  <c:v>78.119924983811785</c:v>
                </c:pt>
                <c:pt idx="1">
                  <c:v>68.321283179587297</c:v>
                </c:pt>
                <c:pt idx="2">
                  <c:v>41.496508934782206</c:v>
                </c:pt>
                <c:pt idx="3">
                  <c:v>30.256233144010068</c:v>
                </c:pt>
              </c:numCache>
            </c:numRef>
          </c:val>
        </c:ser>
        <c:ser>
          <c:idx val="3"/>
          <c:order val="3"/>
          <c:tx>
            <c:strRef>
              <c:f>Sheet1!$AI$389</c:f>
              <c:strCache>
                <c:ptCount val="1"/>
                <c:pt idx="0">
                  <c:v>Uttlesford</c:v>
                </c:pt>
              </c:strCache>
            </c:strRef>
          </c:tx>
          <c:spPr>
            <a:solidFill>
              <a:schemeClr val="tx1"/>
            </a:solidFill>
          </c:spPr>
          <c:cat>
            <c:strRef>
              <c:f>Sheet1!$AJ$385:$AM$385</c:f>
              <c:strCache>
                <c:ptCount val="4"/>
                <c:pt idx="0">
                  <c:v>Once per month</c:v>
                </c:pt>
                <c:pt idx="1">
                  <c:v>Once per week</c:v>
                </c:pt>
                <c:pt idx="2">
                  <c:v>Three times per week</c:v>
                </c:pt>
                <c:pt idx="3">
                  <c:v>Five times per week</c:v>
                </c:pt>
              </c:strCache>
            </c:strRef>
          </c:cat>
          <c:val>
            <c:numRef>
              <c:f>Sheet1!$AJ$389:$AM$389</c:f>
              <c:numCache>
                <c:formatCode>General</c:formatCode>
                <c:ptCount val="4"/>
                <c:pt idx="0">
                  <c:v>81.860979886204149</c:v>
                </c:pt>
                <c:pt idx="1">
                  <c:v>72.134043044777556</c:v>
                </c:pt>
                <c:pt idx="2">
                  <c:v>43.439092004909313</c:v>
                </c:pt>
                <c:pt idx="3">
                  <c:v>33.68253809484515</c:v>
                </c:pt>
              </c:numCache>
            </c:numRef>
          </c:val>
        </c:ser>
        <c:axId val="165095680"/>
        <c:axId val="165105664"/>
      </c:barChart>
      <c:catAx>
        <c:axId val="165095680"/>
        <c:scaling>
          <c:orientation val="minMax"/>
        </c:scaling>
        <c:axPos val="b"/>
        <c:numFmt formatCode="General" sourceLinked="1"/>
        <c:tickLblPos val="nextTo"/>
        <c:txPr>
          <a:bodyPr/>
          <a:lstStyle/>
          <a:p>
            <a:pPr>
              <a:defRPr sz="800"/>
            </a:pPr>
            <a:endParaRPr lang="en-US"/>
          </a:p>
        </c:txPr>
        <c:crossAx val="165105664"/>
        <c:crosses val="autoZero"/>
        <c:auto val="1"/>
        <c:lblAlgn val="ctr"/>
        <c:lblOffset val="100"/>
      </c:catAx>
      <c:valAx>
        <c:axId val="165105664"/>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5095680"/>
        <c:crosses val="autoZero"/>
        <c:crossBetween val="between"/>
      </c:valAx>
    </c:plotArea>
    <c:legend>
      <c:legendPos val="r"/>
      <c:layout/>
      <c:txPr>
        <a:bodyPr/>
        <a:lstStyle/>
        <a:p>
          <a:pPr>
            <a:defRPr sz="800"/>
          </a:pPr>
          <a:endParaRPr lang="en-US"/>
        </a:p>
      </c:txPr>
    </c:legend>
    <c:plotVisOnly val="1"/>
  </c:chart>
  <c:externalData r:id="rId1"/>
</c:chartSpace>
</file>

<file path=word/charts/chart73.xml><?xml version="1.0" encoding="utf-8"?>
<c:chartSpace xmlns:c="http://schemas.openxmlformats.org/drawingml/2006/chart" xmlns:a="http://schemas.openxmlformats.org/drawingml/2006/main" xmlns:r="http://schemas.openxmlformats.org/officeDocument/2006/relationships">
  <c:lang val="en-GB"/>
  <c:chart>
    <c:title>
      <c:tx>
        <c:strRef>
          <c:f>Sheet1!$AN$385</c:f>
          <c:strCache>
            <c:ptCount val="1"/>
            <c:pt idx="0">
              <c:v>Proportion of adults that walk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Sheet1!$AO$385:$AR$385</c:f>
              <c:strCache>
                <c:ptCount val="4"/>
                <c:pt idx="0">
                  <c:v>Once per month</c:v>
                </c:pt>
                <c:pt idx="1">
                  <c:v>Once per week</c:v>
                </c:pt>
                <c:pt idx="2">
                  <c:v>Three times per week</c:v>
                </c:pt>
                <c:pt idx="3">
                  <c:v>Five times per week</c:v>
                </c:pt>
              </c:strCache>
            </c:strRef>
          </c:cat>
          <c:val>
            <c:numRef>
              <c:f>Sheet1!$AO$386:$AR$386</c:f>
              <c:numCache>
                <c:formatCode>General</c:formatCode>
                <c:ptCount val="4"/>
                <c:pt idx="0">
                  <c:v>67.718310441885734</c:v>
                </c:pt>
                <c:pt idx="1">
                  <c:v>54.125095296580014</c:v>
                </c:pt>
                <c:pt idx="2">
                  <c:v>26.077564539991837</c:v>
                </c:pt>
                <c:pt idx="3">
                  <c:v>18.987199258990689</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Sheet1!$AO$385:$AR$385</c:f>
              <c:strCache>
                <c:ptCount val="4"/>
                <c:pt idx="0">
                  <c:v>Once per month</c:v>
                </c:pt>
                <c:pt idx="1">
                  <c:v>Once per week</c:v>
                </c:pt>
                <c:pt idx="2">
                  <c:v>Three times per week</c:v>
                </c:pt>
                <c:pt idx="3">
                  <c:v>Five times per week</c:v>
                </c:pt>
              </c:strCache>
            </c:strRef>
          </c:cat>
          <c:val>
            <c:numRef>
              <c:f>Sheet1!$AO$387:$AR$387</c:f>
              <c:numCache>
                <c:formatCode>General</c:formatCode>
                <c:ptCount val="4"/>
                <c:pt idx="0">
                  <c:v>59.065876996045183</c:v>
                </c:pt>
                <c:pt idx="1">
                  <c:v>45.473244831926806</c:v>
                </c:pt>
                <c:pt idx="2">
                  <c:v>19.132862874839049</c:v>
                </c:pt>
                <c:pt idx="3">
                  <c:v>13.494032567019296</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Sheet1!$AO$385:$AR$385</c:f>
              <c:strCache>
                <c:ptCount val="4"/>
                <c:pt idx="0">
                  <c:v>Once per month</c:v>
                </c:pt>
                <c:pt idx="1">
                  <c:v>Once per week</c:v>
                </c:pt>
                <c:pt idx="2">
                  <c:v>Three times per week</c:v>
                </c:pt>
                <c:pt idx="3">
                  <c:v>Five times per week</c:v>
                </c:pt>
              </c:strCache>
            </c:strRef>
          </c:cat>
          <c:val>
            <c:numRef>
              <c:f>Sheet1!$AO$388:$AR$388</c:f>
              <c:numCache>
                <c:formatCode>General</c:formatCode>
                <c:ptCount val="4"/>
                <c:pt idx="0">
                  <c:v>65.024298462701182</c:v>
                </c:pt>
                <c:pt idx="1">
                  <c:v>51.128172491328797</c:v>
                </c:pt>
                <c:pt idx="2">
                  <c:v>23.483599703124089</c:v>
                </c:pt>
                <c:pt idx="3">
                  <c:v>16.947161449949661</c:v>
                </c:pt>
              </c:numCache>
            </c:numRef>
          </c:val>
        </c:ser>
        <c:ser>
          <c:idx val="3"/>
          <c:order val="3"/>
          <c:tx>
            <c:strRef>
              <c:f>Sheet1!$AI$389</c:f>
              <c:strCache>
                <c:ptCount val="1"/>
                <c:pt idx="0">
                  <c:v>Uttlesford</c:v>
                </c:pt>
              </c:strCache>
            </c:strRef>
          </c:tx>
          <c:spPr>
            <a:solidFill>
              <a:schemeClr val="tx1"/>
            </a:solidFill>
          </c:spPr>
          <c:cat>
            <c:strRef>
              <c:f>Sheet1!$AO$385:$AR$385</c:f>
              <c:strCache>
                <c:ptCount val="4"/>
                <c:pt idx="0">
                  <c:v>Once per month</c:v>
                </c:pt>
                <c:pt idx="1">
                  <c:v>Once per week</c:v>
                </c:pt>
                <c:pt idx="2">
                  <c:v>Three times per week</c:v>
                </c:pt>
                <c:pt idx="3">
                  <c:v>Five times per week</c:v>
                </c:pt>
              </c:strCache>
            </c:strRef>
          </c:cat>
          <c:val>
            <c:numRef>
              <c:f>Sheet1!$AO$389:$AR$389</c:f>
              <c:numCache>
                <c:formatCode>General</c:formatCode>
                <c:ptCount val="4"/>
                <c:pt idx="0">
                  <c:v>70.736900284472739</c:v>
                </c:pt>
                <c:pt idx="1">
                  <c:v>58.075586234693922</c:v>
                </c:pt>
                <c:pt idx="2">
                  <c:v>26.273011097716832</c:v>
                </c:pt>
                <c:pt idx="3">
                  <c:v>19.943685256213012</c:v>
                </c:pt>
              </c:numCache>
            </c:numRef>
          </c:val>
        </c:ser>
        <c:axId val="165128832"/>
        <c:axId val="164954496"/>
      </c:barChart>
      <c:catAx>
        <c:axId val="165128832"/>
        <c:scaling>
          <c:orientation val="minMax"/>
        </c:scaling>
        <c:axPos val="b"/>
        <c:numFmt formatCode="General" sourceLinked="1"/>
        <c:tickLblPos val="nextTo"/>
        <c:txPr>
          <a:bodyPr/>
          <a:lstStyle/>
          <a:p>
            <a:pPr>
              <a:defRPr sz="800"/>
            </a:pPr>
            <a:endParaRPr lang="en-US"/>
          </a:p>
        </c:txPr>
        <c:crossAx val="164954496"/>
        <c:crosses val="autoZero"/>
        <c:auto val="1"/>
        <c:lblAlgn val="ctr"/>
        <c:lblOffset val="100"/>
      </c:catAx>
      <c:valAx>
        <c:axId val="164954496"/>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5128832"/>
        <c:crosses val="autoZero"/>
        <c:crossBetween val="between"/>
      </c:valAx>
    </c:plotArea>
    <c:legend>
      <c:legendPos val="r"/>
      <c:layout/>
      <c:txPr>
        <a:bodyPr/>
        <a:lstStyle/>
        <a:p>
          <a:pPr>
            <a:defRPr sz="800"/>
          </a:pPr>
          <a:endParaRPr lang="en-US"/>
        </a:p>
      </c:txPr>
    </c:legend>
    <c:plotVisOnly val="1"/>
  </c:chart>
  <c:externalData r:id="rId1"/>
</c:chartSpace>
</file>

<file path=word/charts/chart74.xml><?xml version="1.0" encoding="utf-8"?>
<c:chartSpace xmlns:c="http://schemas.openxmlformats.org/drawingml/2006/chart" xmlns:a="http://schemas.openxmlformats.org/drawingml/2006/main" xmlns:r="http://schemas.openxmlformats.org/officeDocument/2006/relationships">
  <c:lang val="en-GB"/>
  <c:chart>
    <c:title>
      <c:tx>
        <c:strRef>
          <c:f>Sheet1!$AS$385</c:f>
          <c:strCache>
            <c:ptCount val="1"/>
            <c:pt idx="0">
              <c:v>Proportion of adults that walk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Sheet1!$AT$385:$AW$385</c:f>
              <c:strCache>
                <c:ptCount val="4"/>
                <c:pt idx="0">
                  <c:v>Once per month</c:v>
                </c:pt>
                <c:pt idx="1">
                  <c:v>Once per week</c:v>
                </c:pt>
                <c:pt idx="2">
                  <c:v>Three times per week</c:v>
                </c:pt>
                <c:pt idx="3">
                  <c:v>Five times per week</c:v>
                </c:pt>
              </c:strCache>
            </c:strRef>
          </c:cat>
          <c:val>
            <c:numRef>
              <c:f>Sheet1!$AT$386:$AW$386</c:f>
              <c:numCache>
                <c:formatCode>General</c:formatCode>
                <c:ptCount val="4"/>
                <c:pt idx="0">
                  <c:v>40.066472936355098</c:v>
                </c:pt>
                <c:pt idx="1">
                  <c:v>32.954781385047923</c:v>
                </c:pt>
                <c:pt idx="2">
                  <c:v>16.71911051667453</c:v>
                </c:pt>
                <c:pt idx="3">
                  <c:v>11.698243097149177</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Sheet1!$AT$385:$AW$385</c:f>
              <c:strCache>
                <c:ptCount val="4"/>
                <c:pt idx="0">
                  <c:v>Once per month</c:v>
                </c:pt>
                <c:pt idx="1">
                  <c:v>Once per week</c:v>
                </c:pt>
                <c:pt idx="2">
                  <c:v>Three times per week</c:v>
                </c:pt>
                <c:pt idx="3">
                  <c:v>Five times per week</c:v>
                </c:pt>
              </c:strCache>
            </c:strRef>
          </c:cat>
          <c:val>
            <c:numRef>
              <c:f>Sheet1!$AT$387:$AW$387</c:f>
              <c:numCache>
                <c:formatCode>General</c:formatCode>
                <c:ptCount val="4"/>
                <c:pt idx="0">
                  <c:v>51.436230705487397</c:v>
                </c:pt>
                <c:pt idx="1">
                  <c:v>43.659457647253603</c:v>
                </c:pt>
                <c:pt idx="2">
                  <c:v>24.035133552391343</c:v>
                </c:pt>
                <c:pt idx="3">
                  <c:v>17.6897812600333</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Sheet1!$AT$385:$AW$385</c:f>
              <c:strCache>
                <c:ptCount val="4"/>
                <c:pt idx="0">
                  <c:v>Once per month</c:v>
                </c:pt>
                <c:pt idx="1">
                  <c:v>Once per week</c:v>
                </c:pt>
                <c:pt idx="2">
                  <c:v>Three times per week</c:v>
                </c:pt>
                <c:pt idx="3">
                  <c:v>Five times per week</c:v>
                </c:pt>
              </c:strCache>
            </c:strRef>
          </c:cat>
          <c:val>
            <c:numRef>
              <c:f>Sheet1!$AT$388:$AW$388</c:f>
              <c:numCache>
                <c:formatCode>General</c:formatCode>
                <c:ptCount val="4"/>
                <c:pt idx="0">
                  <c:v>44.279410968582809</c:v>
                </c:pt>
                <c:pt idx="1">
                  <c:v>36.650391612516508</c:v>
                </c:pt>
                <c:pt idx="2">
                  <c:v>19.02361383866311</c:v>
                </c:pt>
                <c:pt idx="3">
                  <c:v>13.441020515685556</c:v>
                </c:pt>
              </c:numCache>
            </c:numRef>
          </c:val>
        </c:ser>
        <c:ser>
          <c:idx val="3"/>
          <c:order val="3"/>
          <c:tx>
            <c:strRef>
              <c:f>Sheet1!$AI$389</c:f>
              <c:strCache>
                <c:ptCount val="1"/>
                <c:pt idx="0">
                  <c:v>Uttlesford</c:v>
                </c:pt>
              </c:strCache>
            </c:strRef>
          </c:tx>
          <c:spPr>
            <a:solidFill>
              <a:schemeClr val="tx1"/>
            </a:solidFill>
          </c:spPr>
          <c:cat>
            <c:strRef>
              <c:f>Sheet1!$AT$385:$AW$385</c:f>
              <c:strCache>
                <c:ptCount val="4"/>
                <c:pt idx="0">
                  <c:v>Once per month</c:v>
                </c:pt>
                <c:pt idx="1">
                  <c:v>Once per week</c:v>
                </c:pt>
                <c:pt idx="2">
                  <c:v>Three times per week</c:v>
                </c:pt>
                <c:pt idx="3">
                  <c:v>Five times per week</c:v>
                </c:pt>
              </c:strCache>
            </c:strRef>
          </c:cat>
          <c:val>
            <c:numRef>
              <c:f>Sheet1!$AT$389:$AW$389</c:f>
              <c:numCache>
                <c:formatCode>General</c:formatCode>
                <c:ptCount val="4"/>
                <c:pt idx="0">
                  <c:v>44.990658265316988</c:v>
                </c:pt>
                <c:pt idx="1">
                  <c:v>36.514002684110146</c:v>
                </c:pt>
                <c:pt idx="2">
                  <c:v>18.218455528424265</c:v>
                </c:pt>
                <c:pt idx="3">
                  <c:v>13.923829807946866</c:v>
                </c:pt>
              </c:numCache>
            </c:numRef>
          </c:val>
        </c:ser>
        <c:axId val="165018624"/>
        <c:axId val="165151488"/>
      </c:barChart>
      <c:catAx>
        <c:axId val="165018624"/>
        <c:scaling>
          <c:orientation val="minMax"/>
        </c:scaling>
        <c:axPos val="b"/>
        <c:numFmt formatCode="General" sourceLinked="1"/>
        <c:tickLblPos val="nextTo"/>
        <c:txPr>
          <a:bodyPr/>
          <a:lstStyle/>
          <a:p>
            <a:pPr>
              <a:defRPr sz="800"/>
            </a:pPr>
            <a:endParaRPr lang="en-US"/>
          </a:p>
        </c:txPr>
        <c:crossAx val="165151488"/>
        <c:crosses val="autoZero"/>
        <c:auto val="1"/>
        <c:lblAlgn val="ctr"/>
        <c:lblOffset val="100"/>
      </c:catAx>
      <c:valAx>
        <c:axId val="165151488"/>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5018624"/>
        <c:crosses val="autoZero"/>
        <c:crossBetween val="between"/>
      </c:valAx>
    </c:plotArea>
    <c:legend>
      <c:legendPos val="r"/>
      <c:layout/>
      <c:txPr>
        <a:bodyPr/>
        <a:lstStyle/>
        <a:p>
          <a:pPr>
            <a:defRPr sz="800"/>
          </a:pPr>
          <a:endParaRPr lang="en-US"/>
        </a:p>
      </c:txP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Sheet1!$CE$379</c:f>
          <c:strCache>
            <c:ptCount val="1"/>
            <c:pt idx="0">
              <c:v>Travel time to nearest employment centre with at least 5000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Sheet1!$CF$379:$CH$379</c:f>
              <c:numCache>
                <c:formatCode>General</c:formatCode>
                <c:ptCount val="3"/>
                <c:pt idx="0">
                  <c:v>2014</c:v>
                </c:pt>
                <c:pt idx="1">
                  <c:v>2015</c:v>
                </c:pt>
                <c:pt idx="2">
                  <c:v>2016</c:v>
                </c:pt>
              </c:numCache>
            </c:numRef>
          </c:cat>
          <c:val>
            <c:numRef>
              <c:f>Sheet1!$CF$380:$CH$380</c:f>
              <c:numCache>
                <c:formatCode>General</c:formatCode>
                <c:ptCount val="3"/>
                <c:pt idx="0">
                  <c:v>66.120216711379442</c:v>
                </c:pt>
                <c:pt idx="1">
                  <c:v>64.780036590800279</c:v>
                </c:pt>
                <c:pt idx="2">
                  <c:v>65.104492785585478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Sheet1!$CF$379:$CH$379</c:f>
              <c:numCache>
                <c:formatCode>General</c:formatCode>
                <c:ptCount val="3"/>
                <c:pt idx="0">
                  <c:v>2014</c:v>
                </c:pt>
                <c:pt idx="1">
                  <c:v>2015</c:v>
                </c:pt>
                <c:pt idx="2">
                  <c:v>2016</c:v>
                </c:pt>
              </c:numCache>
            </c:numRef>
          </c:cat>
          <c:val>
            <c:numRef>
              <c:f>Sheet1!$CF$381:$CH$381</c:f>
              <c:numCache>
                <c:formatCode>General</c:formatCode>
                <c:ptCount val="3"/>
                <c:pt idx="0">
                  <c:v>23.231280367915925</c:v>
                </c:pt>
                <c:pt idx="1">
                  <c:v>23.067567015284308</c:v>
                </c:pt>
                <c:pt idx="2">
                  <c:v>24.670732477287824</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Sheet1!$CF$379:$CH$379</c:f>
              <c:numCache>
                <c:formatCode>General</c:formatCode>
                <c:ptCount val="3"/>
                <c:pt idx="0">
                  <c:v>2014</c:v>
                </c:pt>
                <c:pt idx="1">
                  <c:v>2015</c:v>
                </c:pt>
                <c:pt idx="2">
                  <c:v>2016</c:v>
                </c:pt>
              </c:numCache>
            </c:numRef>
          </c:cat>
          <c:val>
            <c:numRef>
              <c:f>Sheet1!$CF$382:$CH$382</c:f>
              <c:numCache>
                <c:formatCode>General</c:formatCode>
                <c:ptCount val="3"/>
                <c:pt idx="0">
                  <c:v>47.254363170359348</c:v>
                </c:pt>
                <c:pt idx="1">
                  <c:v>46.308493399392191</c:v>
                </c:pt>
                <c:pt idx="2">
                  <c:v>48.337578519606438</c:v>
                </c:pt>
              </c:numCache>
            </c:numRef>
          </c:val>
        </c:ser>
        <c:ser>
          <c:idx val="4"/>
          <c:order val="3"/>
          <c:tx>
            <c:strRef>
              <c:f>Sheet1!$CE$383</c:f>
              <c:strCache>
                <c:ptCount val="1"/>
                <c:pt idx="0">
                  <c:v>Uttlesford</c:v>
                </c:pt>
              </c:strCache>
            </c:strRef>
          </c:tx>
          <c:spPr>
            <a:ln w="25400">
              <a:solidFill>
                <a:schemeClr val="tx1"/>
              </a:solidFill>
            </a:ln>
          </c:spPr>
          <c:marker>
            <c:symbol val="none"/>
          </c:marker>
          <c:cat>
            <c:numRef>
              <c:f>Sheet1!$CF$379:$CH$379</c:f>
              <c:numCache>
                <c:formatCode>General</c:formatCode>
                <c:ptCount val="3"/>
                <c:pt idx="0">
                  <c:v>2014</c:v>
                </c:pt>
                <c:pt idx="1">
                  <c:v>2015</c:v>
                </c:pt>
                <c:pt idx="2">
                  <c:v>2016</c:v>
                </c:pt>
              </c:numCache>
            </c:numRef>
          </c:cat>
          <c:val>
            <c:numRef>
              <c:f>Sheet1!$CF$383:$CH$383</c:f>
              <c:numCache>
                <c:formatCode>General</c:formatCode>
                <c:ptCount val="3"/>
                <c:pt idx="0">
                  <c:v>58.259524569742176</c:v>
                </c:pt>
                <c:pt idx="1">
                  <c:v>58.353613576861051</c:v>
                </c:pt>
                <c:pt idx="2">
                  <c:v>57.439033996560411</c:v>
                </c:pt>
              </c:numCache>
            </c:numRef>
          </c:val>
        </c:ser>
        <c:marker val="1"/>
        <c:axId val="162019584"/>
        <c:axId val="162029568"/>
      </c:lineChart>
      <c:catAx>
        <c:axId val="162019584"/>
        <c:scaling>
          <c:orientation val="minMax"/>
        </c:scaling>
        <c:axPos val="b"/>
        <c:numFmt formatCode="General" sourceLinked="1"/>
        <c:tickLblPos val="nextTo"/>
        <c:crossAx val="162029568"/>
        <c:crosses val="autoZero"/>
        <c:auto val="1"/>
        <c:lblAlgn val="ctr"/>
        <c:lblOffset val="100"/>
      </c:catAx>
      <c:valAx>
        <c:axId val="162029568"/>
        <c:scaling>
          <c:orientation val="minMax"/>
        </c:scaling>
        <c:axPos val="l"/>
        <c:majorGridlines/>
        <c:title>
          <c:tx>
            <c:strRef>
              <c:f>Sheet1!$CE$384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019584"/>
        <c:crosses val="autoZero"/>
        <c:crossBetween val="between"/>
      </c:valAx>
    </c:plotArea>
    <c:legend>
      <c:legendPos val="r"/>
      <c:txPr>
        <a:bodyPr/>
        <a:lstStyle/>
        <a:p>
          <a:pPr>
            <a:defRPr sz="800"/>
          </a:pPr>
          <a:endParaRPr lang="en-US"/>
        </a:p>
      </c:txP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Sheet1!$CP$379</c:f>
          <c:strCache>
            <c:ptCount val="1"/>
            <c:pt idx="0">
              <c:v>Travel time to nearest employment centre with at least 5000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Sheet1!$CQ$379:$CS$379</c:f>
              <c:numCache>
                <c:formatCode>General</c:formatCode>
                <c:ptCount val="3"/>
                <c:pt idx="0">
                  <c:v>2014</c:v>
                </c:pt>
                <c:pt idx="1">
                  <c:v>2015</c:v>
                </c:pt>
                <c:pt idx="2">
                  <c:v>2016</c:v>
                </c:pt>
              </c:numCache>
            </c:numRef>
          </c:cat>
          <c:val>
            <c:numRef>
              <c:f>Sheet1!$CQ$380:$CS$380</c:f>
              <c:numCache>
                <c:formatCode>General</c:formatCode>
                <c:ptCount val="3"/>
                <c:pt idx="0">
                  <c:v>26.154033932541719</c:v>
                </c:pt>
                <c:pt idx="1">
                  <c:v>26.432096574325495</c:v>
                </c:pt>
                <c:pt idx="2">
                  <c:v>27.062328790036478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Sheet1!$CQ$379:$CS$379</c:f>
              <c:numCache>
                <c:formatCode>General</c:formatCode>
                <c:ptCount val="3"/>
                <c:pt idx="0">
                  <c:v>2014</c:v>
                </c:pt>
                <c:pt idx="1">
                  <c:v>2015</c:v>
                </c:pt>
                <c:pt idx="2">
                  <c:v>2016</c:v>
                </c:pt>
              </c:numCache>
            </c:numRef>
          </c:cat>
          <c:val>
            <c:numRef>
              <c:f>Sheet1!$CQ$381:$CS$381</c:f>
              <c:numCache>
                <c:formatCode>General</c:formatCode>
                <c:ptCount val="3"/>
                <c:pt idx="0">
                  <c:v>14.524026412843073</c:v>
                </c:pt>
                <c:pt idx="1">
                  <c:v>14.087235547679224</c:v>
                </c:pt>
                <c:pt idx="2">
                  <c:v>15.871572265696139</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Sheet1!$CQ$379:$CS$379</c:f>
              <c:numCache>
                <c:formatCode>General</c:formatCode>
                <c:ptCount val="3"/>
                <c:pt idx="0">
                  <c:v>2014</c:v>
                </c:pt>
                <c:pt idx="1">
                  <c:v>2015</c:v>
                </c:pt>
                <c:pt idx="2">
                  <c:v>2016</c:v>
                </c:pt>
              </c:numCache>
            </c:numRef>
          </c:cat>
          <c:val>
            <c:numRef>
              <c:f>Sheet1!$CQ$382:$CS$382</c:f>
              <c:numCache>
                <c:formatCode>General</c:formatCode>
                <c:ptCount val="3"/>
                <c:pt idx="0">
                  <c:v>21.324709796168282</c:v>
                </c:pt>
                <c:pt idx="1">
                  <c:v>21.267355689209925</c:v>
                </c:pt>
                <c:pt idx="2">
                  <c:v>22.667565324438907</c:v>
                </c:pt>
              </c:numCache>
            </c:numRef>
          </c:val>
        </c:ser>
        <c:ser>
          <c:idx val="4"/>
          <c:order val="3"/>
          <c:tx>
            <c:strRef>
              <c:f>Sheet1!$CE$383</c:f>
              <c:strCache>
                <c:ptCount val="1"/>
                <c:pt idx="0">
                  <c:v>Uttlesford</c:v>
                </c:pt>
              </c:strCache>
            </c:strRef>
          </c:tx>
          <c:spPr>
            <a:ln w="25400">
              <a:solidFill>
                <a:schemeClr val="tx1"/>
              </a:solidFill>
            </a:ln>
          </c:spPr>
          <c:marker>
            <c:symbol val="none"/>
          </c:marker>
          <c:cat>
            <c:numRef>
              <c:f>Sheet1!$CQ$379:$CS$379</c:f>
              <c:numCache>
                <c:formatCode>General</c:formatCode>
                <c:ptCount val="3"/>
                <c:pt idx="0">
                  <c:v>2014</c:v>
                </c:pt>
                <c:pt idx="1">
                  <c:v>2015</c:v>
                </c:pt>
                <c:pt idx="2">
                  <c:v>2016</c:v>
                </c:pt>
              </c:numCache>
            </c:numRef>
          </c:cat>
          <c:val>
            <c:numRef>
              <c:f>Sheet1!$CQ$383:$CS$383</c:f>
              <c:numCache>
                <c:formatCode>General</c:formatCode>
                <c:ptCount val="3"/>
                <c:pt idx="0">
                  <c:v>23.231748606122189</c:v>
                </c:pt>
                <c:pt idx="1">
                  <c:v>24.304668114437124</c:v>
                </c:pt>
                <c:pt idx="2">
                  <c:v>24.546036377892499</c:v>
                </c:pt>
              </c:numCache>
            </c:numRef>
          </c:val>
        </c:ser>
        <c:marker val="1"/>
        <c:axId val="162056832"/>
        <c:axId val="161874304"/>
      </c:lineChart>
      <c:catAx>
        <c:axId val="162056832"/>
        <c:scaling>
          <c:orientation val="minMax"/>
        </c:scaling>
        <c:axPos val="b"/>
        <c:numFmt formatCode="General" sourceLinked="1"/>
        <c:tickLblPos val="nextTo"/>
        <c:crossAx val="161874304"/>
        <c:crosses val="autoZero"/>
        <c:auto val="1"/>
        <c:lblAlgn val="ctr"/>
        <c:lblOffset val="100"/>
      </c:catAx>
      <c:valAx>
        <c:axId val="161874304"/>
        <c:scaling>
          <c:orientation val="minMax"/>
        </c:scaling>
        <c:axPos val="l"/>
        <c:majorGridlines/>
        <c:title>
          <c:tx>
            <c:strRef>
              <c:f>Sheet1!$CP$384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056832"/>
        <c:crosses val="autoZero"/>
        <c:crossBetween val="between"/>
      </c:valAx>
    </c:plotArea>
    <c:legend>
      <c:legendPos val="r"/>
      <c:txPr>
        <a:bodyPr/>
        <a:lstStyle/>
        <a:p>
          <a:pPr>
            <a:defRPr sz="800"/>
          </a:pPr>
          <a:endParaRPr lang="en-US"/>
        </a:p>
      </c:txP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D193DD9-2B4A-4D0A-A314-2AFECDD181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30</Pages>
  <Words>1410</Words>
  <Characters>8041</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10</cp:revision>
  <dcterms:created xsi:type="dcterms:W3CDTF">2018-06-28T10:45:00Z</dcterms:created>
  <dcterms:modified xsi:type="dcterms:W3CDTF">2018-07-16T11:05:00Z</dcterms:modified>
</cp:coreProperties>
</file>